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BA89EA">
      <w:pPr>
        <w:spacing w:line="260" w:lineRule="auto"/>
        <w:rPr>
          <w:rFonts w:ascii="Arial"/>
          <w:sz w:val="21"/>
        </w:rPr>
      </w:pPr>
    </w:p>
    <w:p w14:paraId="4162F9E8">
      <w:pPr>
        <w:spacing w:line="260" w:lineRule="auto"/>
        <w:rPr>
          <w:rFonts w:ascii="Arial"/>
          <w:sz w:val="21"/>
        </w:rPr>
      </w:pPr>
    </w:p>
    <w:p w14:paraId="70AA7045">
      <w:pPr>
        <w:spacing w:line="260" w:lineRule="auto"/>
        <w:rPr>
          <w:rFonts w:ascii="Arial"/>
          <w:sz w:val="21"/>
        </w:rPr>
      </w:pPr>
    </w:p>
    <w:p w14:paraId="710AC06A">
      <w:pPr>
        <w:spacing w:line="260" w:lineRule="auto"/>
        <w:rPr>
          <w:rFonts w:ascii="Arial"/>
          <w:sz w:val="21"/>
        </w:rPr>
      </w:pPr>
    </w:p>
    <w:p w14:paraId="5531597A">
      <w:pPr>
        <w:spacing w:line="260" w:lineRule="auto"/>
        <w:rPr>
          <w:rFonts w:ascii="Arial"/>
          <w:sz w:val="21"/>
        </w:rPr>
      </w:pPr>
    </w:p>
    <w:p w14:paraId="02E2F265">
      <w:pPr>
        <w:spacing w:line="260" w:lineRule="auto"/>
        <w:rPr>
          <w:rFonts w:ascii="Arial"/>
          <w:sz w:val="21"/>
        </w:rPr>
      </w:pPr>
    </w:p>
    <w:p w14:paraId="7054747F">
      <w:pPr>
        <w:spacing w:line="261" w:lineRule="auto"/>
        <w:rPr>
          <w:rFonts w:ascii="Arial"/>
          <w:sz w:val="21"/>
        </w:rPr>
      </w:pPr>
    </w:p>
    <w:p w14:paraId="5CBE39F6">
      <w:pPr>
        <w:pStyle w:val="3"/>
        <w:spacing w:before="140" w:line="246" w:lineRule="auto"/>
        <w:ind w:right="2404"/>
        <w:jc w:val="both"/>
        <w:outlineLvl w:val="0"/>
        <w:rPr>
          <w:b/>
          <w:bCs/>
          <w:spacing w:val="-1"/>
          <w:sz w:val="52"/>
          <w:szCs w:val="52"/>
        </w:rPr>
      </w:pPr>
      <w:r>
        <w:rPr>
          <w:rFonts w:hint="eastAsia"/>
          <w:b/>
          <w:bCs/>
          <w:spacing w:val="-1"/>
          <w:sz w:val="36"/>
          <w:szCs w:val="36"/>
          <w:lang w:val="en-US" w:eastAsia="zh-CN"/>
        </w:rPr>
        <w:t xml:space="preserve">         </w:t>
      </w:r>
      <w:r>
        <w:rPr>
          <w:b/>
          <w:bCs/>
          <w:spacing w:val="-1"/>
          <w:sz w:val="52"/>
          <w:szCs w:val="52"/>
        </w:rPr>
        <w:t>中国实验动物学会</w:t>
      </w:r>
    </w:p>
    <w:p w14:paraId="0E35C426">
      <w:pPr>
        <w:pStyle w:val="3"/>
        <w:spacing w:before="140" w:line="246" w:lineRule="auto"/>
        <w:ind w:right="2404"/>
        <w:jc w:val="both"/>
        <w:outlineLvl w:val="0"/>
        <w:rPr>
          <w:b/>
          <w:bCs/>
          <w:spacing w:val="-8"/>
          <w:sz w:val="48"/>
          <w:szCs w:val="48"/>
        </w:rPr>
      </w:pPr>
      <w:r>
        <w:rPr>
          <w:rFonts w:hint="eastAsia"/>
          <w:b/>
          <w:bCs/>
          <w:spacing w:val="-1"/>
          <w:sz w:val="52"/>
          <w:szCs w:val="52"/>
          <w:lang w:val="en-US" w:eastAsia="zh-CN"/>
        </w:rPr>
        <w:t xml:space="preserve">          </w:t>
      </w:r>
      <w:r>
        <w:rPr>
          <w:b/>
          <w:bCs/>
          <w:spacing w:val="-8"/>
          <w:sz w:val="52"/>
          <w:szCs w:val="52"/>
        </w:rPr>
        <w:t>团体标准</w:t>
      </w:r>
    </w:p>
    <w:p w14:paraId="6D985CE9">
      <w:pPr>
        <w:pStyle w:val="3"/>
        <w:spacing w:before="140" w:line="246" w:lineRule="auto"/>
        <w:ind w:right="-64" w:rightChars="0"/>
        <w:jc w:val="both"/>
        <w:outlineLvl w:val="0"/>
        <w:rPr>
          <w:rFonts w:ascii="黑体" w:hAnsi="黑体" w:eastAsia="黑体" w:cs="黑体"/>
          <w:b/>
          <w:bCs/>
          <w:spacing w:val="8"/>
          <w:sz w:val="36"/>
          <w:szCs w:val="36"/>
        </w:rPr>
      </w:pPr>
    </w:p>
    <w:p w14:paraId="50F5D369">
      <w:pPr>
        <w:pStyle w:val="3"/>
        <w:spacing w:before="140" w:line="246" w:lineRule="auto"/>
        <w:ind w:right="-64" w:rightChars="0"/>
        <w:jc w:val="both"/>
        <w:outlineLvl w:val="0"/>
        <w:rPr>
          <w:rFonts w:ascii="黑体" w:hAnsi="黑体" w:eastAsia="黑体" w:cs="黑体"/>
          <w:b/>
          <w:bCs/>
          <w:spacing w:val="8"/>
          <w:sz w:val="36"/>
          <w:szCs w:val="36"/>
        </w:rPr>
      </w:pPr>
    </w:p>
    <w:p w14:paraId="64C353BA">
      <w:pPr>
        <w:pStyle w:val="3"/>
        <w:keepNext w:val="0"/>
        <w:keepLines w:val="0"/>
        <w:pageBreakBefore w:val="0"/>
        <w:widowControl/>
        <w:kinsoku w:val="0"/>
        <w:wordWrap/>
        <w:overflowPunct/>
        <w:topLinePunct w:val="0"/>
        <w:autoSpaceDE w:val="0"/>
        <w:autoSpaceDN w:val="0"/>
        <w:bidi w:val="0"/>
        <w:adjustRightInd w:val="0"/>
        <w:snapToGrid w:val="0"/>
        <w:spacing w:before="140" w:line="240" w:lineRule="auto"/>
        <w:ind w:right="-62" w:rightChars="0"/>
        <w:jc w:val="center"/>
        <w:textAlignment w:val="baseline"/>
        <w:outlineLvl w:val="0"/>
        <w:rPr>
          <w:rFonts w:ascii="黑体" w:hAnsi="黑体" w:eastAsia="黑体" w:cs="黑体"/>
          <w:sz w:val="52"/>
          <w:szCs w:val="52"/>
        </w:rPr>
      </w:pPr>
      <w:r>
        <w:rPr>
          <w:rFonts w:ascii="黑体" w:hAnsi="黑体" w:eastAsia="黑体" w:cs="黑体"/>
          <w:b/>
          <w:bCs/>
          <w:spacing w:val="8"/>
          <w:sz w:val="52"/>
          <w:szCs w:val="52"/>
        </w:rPr>
        <w:t>《</w:t>
      </w:r>
      <w:r>
        <w:rPr>
          <w:rFonts w:ascii="黑体" w:hAnsi="黑体" w:eastAsia="黑体" w:cs="黑体"/>
          <w:spacing w:val="8"/>
          <w:sz w:val="52"/>
          <w:szCs w:val="52"/>
        </w:rPr>
        <w:t xml:space="preserve">实验动物 </w:t>
      </w:r>
      <w:r>
        <w:rPr>
          <w:rFonts w:hint="eastAsia" w:ascii="黑体" w:hAnsi="黑体" w:eastAsia="黑体" w:cs="黑体"/>
          <w:b w:val="0"/>
          <w:bCs w:val="0"/>
          <w:color w:val="auto"/>
          <w:sz w:val="52"/>
          <w:szCs w:val="52"/>
          <w:highlight w:val="none"/>
        </w:rPr>
        <w:t>无菌小鼠肠道微生物移植模型数据</w:t>
      </w:r>
      <w:r>
        <w:rPr>
          <w:rFonts w:hint="eastAsia" w:ascii="黑体" w:hAnsi="黑体" w:eastAsia="黑体" w:cs="黑体"/>
          <w:b w:val="0"/>
          <w:bCs w:val="0"/>
          <w:color w:val="auto"/>
          <w:sz w:val="52"/>
          <w:szCs w:val="52"/>
          <w:highlight w:val="none"/>
          <w:lang w:val="en-US" w:eastAsia="zh-CN"/>
        </w:rPr>
        <w:t>采集规范</w:t>
      </w:r>
      <w:r>
        <w:rPr>
          <w:rFonts w:ascii="黑体" w:hAnsi="黑体" w:eastAsia="黑体" w:cs="黑体"/>
          <w:b/>
          <w:bCs/>
          <w:spacing w:val="5"/>
          <w:sz w:val="52"/>
          <w:szCs w:val="52"/>
        </w:rPr>
        <w:t>》</w:t>
      </w:r>
    </w:p>
    <w:p w14:paraId="5B22452A">
      <w:pPr>
        <w:spacing w:line="259" w:lineRule="auto"/>
        <w:rPr>
          <w:rFonts w:ascii="Arial"/>
          <w:sz w:val="36"/>
          <w:szCs w:val="36"/>
        </w:rPr>
      </w:pPr>
    </w:p>
    <w:p w14:paraId="76471CA2">
      <w:pPr>
        <w:spacing w:line="259" w:lineRule="auto"/>
        <w:rPr>
          <w:rFonts w:ascii="Arial"/>
          <w:sz w:val="36"/>
          <w:szCs w:val="36"/>
        </w:rPr>
      </w:pPr>
    </w:p>
    <w:p w14:paraId="683CC5DD">
      <w:pPr>
        <w:pStyle w:val="3"/>
        <w:spacing w:before="153" w:line="223" w:lineRule="auto"/>
        <w:ind w:left="3226"/>
        <w:outlineLvl w:val="0"/>
        <w:rPr>
          <w:sz w:val="36"/>
          <w:szCs w:val="36"/>
        </w:rPr>
      </w:pPr>
      <w:r>
        <w:rPr>
          <w:b/>
          <w:bCs/>
          <w:sz w:val="52"/>
          <w:szCs w:val="52"/>
        </w:rPr>
        <w:t>编制说明</w:t>
      </w:r>
    </w:p>
    <w:p w14:paraId="15880E2B">
      <w:pPr>
        <w:spacing w:line="254" w:lineRule="auto"/>
        <w:rPr>
          <w:rFonts w:ascii="Arial"/>
          <w:sz w:val="36"/>
          <w:szCs w:val="36"/>
        </w:rPr>
      </w:pPr>
    </w:p>
    <w:p w14:paraId="255FB4CC">
      <w:pPr>
        <w:spacing w:line="254" w:lineRule="auto"/>
        <w:rPr>
          <w:rFonts w:ascii="Arial"/>
          <w:sz w:val="21"/>
        </w:rPr>
      </w:pPr>
    </w:p>
    <w:p w14:paraId="4F0E6945">
      <w:pPr>
        <w:spacing w:line="254" w:lineRule="auto"/>
        <w:rPr>
          <w:rFonts w:ascii="Arial"/>
          <w:sz w:val="21"/>
        </w:rPr>
      </w:pPr>
    </w:p>
    <w:p w14:paraId="331410C4">
      <w:pPr>
        <w:spacing w:line="254" w:lineRule="auto"/>
        <w:rPr>
          <w:rFonts w:ascii="Arial"/>
          <w:sz w:val="21"/>
        </w:rPr>
      </w:pPr>
    </w:p>
    <w:p w14:paraId="2FB42D84">
      <w:pPr>
        <w:spacing w:line="255" w:lineRule="auto"/>
        <w:rPr>
          <w:rFonts w:ascii="Arial"/>
          <w:sz w:val="21"/>
        </w:rPr>
      </w:pPr>
    </w:p>
    <w:p w14:paraId="73A0F3B3">
      <w:pPr>
        <w:spacing w:line="255" w:lineRule="auto"/>
        <w:rPr>
          <w:rFonts w:ascii="Arial"/>
          <w:sz w:val="21"/>
        </w:rPr>
      </w:pPr>
    </w:p>
    <w:p w14:paraId="7CCD471D">
      <w:pPr>
        <w:spacing w:line="255" w:lineRule="auto"/>
        <w:rPr>
          <w:rFonts w:ascii="Arial"/>
          <w:sz w:val="21"/>
        </w:rPr>
      </w:pPr>
    </w:p>
    <w:p w14:paraId="5D8595C0">
      <w:pPr>
        <w:spacing w:line="255" w:lineRule="auto"/>
        <w:rPr>
          <w:rFonts w:ascii="Arial"/>
          <w:sz w:val="21"/>
        </w:rPr>
      </w:pPr>
    </w:p>
    <w:p w14:paraId="0ECDFAD3">
      <w:pPr>
        <w:spacing w:line="255" w:lineRule="auto"/>
        <w:rPr>
          <w:rFonts w:ascii="Arial"/>
          <w:sz w:val="21"/>
        </w:rPr>
      </w:pPr>
    </w:p>
    <w:p w14:paraId="2C44C6AD">
      <w:pPr>
        <w:spacing w:line="255" w:lineRule="auto"/>
        <w:rPr>
          <w:rFonts w:ascii="Arial"/>
          <w:sz w:val="21"/>
        </w:rPr>
      </w:pPr>
    </w:p>
    <w:p w14:paraId="580AA9CD">
      <w:pPr>
        <w:pStyle w:val="3"/>
        <w:spacing w:before="91" w:line="221" w:lineRule="auto"/>
        <w:ind w:left="1566"/>
        <w:rPr>
          <w:rFonts w:hint="eastAsia" w:eastAsia="宋体"/>
          <w:lang w:val="en-US" w:eastAsia="zh-CN"/>
        </w:rPr>
      </w:pPr>
      <w:r>
        <w:rPr>
          <w:b/>
          <w:bCs/>
          <w:spacing w:val="-10"/>
        </w:rPr>
        <w:t>联</w:t>
      </w:r>
      <w:r>
        <w:rPr>
          <w:spacing w:val="20"/>
        </w:rPr>
        <w:t xml:space="preserve"> </w:t>
      </w:r>
      <w:r>
        <w:rPr>
          <w:b/>
          <w:bCs/>
          <w:spacing w:val="-10"/>
        </w:rPr>
        <w:t>系</w:t>
      </w:r>
      <w:r>
        <w:rPr>
          <w:spacing w:val="15"/>
        </w:rPr>
        <w:t xml:space="preserve"> </w:t>
      </w:r>
      <w:r>
        <w:rPr>
          <w:b/>
          <w:bCs/>
          <w:spacing w:val="-10"/>
        </w:rPr>
        <w:t>人：</w:t>
      </w:r>
      <w:r>
        <w:rPr>
          <w:rFonts w:hint="eastAsia"/>
          <w:b/>
          <w:bCs/>
          <w:spacing w:val="-10"/>
          <w:lang w:val="en-US" w:eastAsia="zh-CN"/>
        </w:rPr>
        <w:t>刘 星</w:t>
      </w:r>
    </w:p>
    <w:p w14:paraId="1581E379">
      <w:pPr>
        <w:pStyle w:val="3"/>
        <w:spacing w:before="288" w:line="222" w:lineRule="auto"/>
        <w:ind w:left="1566"/>
      </w:pPr>
      <w:r>
        <w:rPr>
          <w:b/>
          <w:bCs/>
          <w:spacing w:val="-3"/>
        </w:rPr>
        <w:t>联系电话：</w:t>
      </w:r>
      <w:r>
        <w:rPr>
          <w:rFonts w:hint="eastAsia" w:ascii="Times New Roman" w:hAnsi="Times New Roman" w:eastAsia="宋体" w:cs="Times New Roman"/>
          <w:szCs w:val="22"/>
          <w:lang w:val="en-US" w:eastAsia="zh-CN"/>
        </w:rPr>
        <w:t>010-67722880</w:t>
      </w:r>
    </w:p>
    <w:p w14:paraId="379BFA8E">
      <w:pPr>
        <w:pStyle w:val="3"/>
        <w:spacing w:before="287" w:line="220" w:lineRule="auto"/>
        <w:ind w:left="1568"/>
        <w:rPr>
          <w:rFonts w:hint="default" w:eastAsia="宋体"/>
          <w:lang w:val="en-US" w:eastAsia="zh-CN"/>
        </w:rPr>
      </w:pPr>
      <w:r>
        <w:rPr>
          <w:b/>
          <w:bCs/>
          <w:spacing w:val="-3"/>
        </w:rPr>
        <w:t>编制单位：</w:t>
      </w:r>
      <w:r>
        <w:rPr>
          <w:rFonts w:hint="eastAsia"/>
          <w:b/>
          <w:bCs/>
          <w:spacing w:val="-3"/>
          <w:lang w:val="en-US" w:eastAsia="zh-CN"/>
        </w:rPr>
        <w:t>中国医学科学院医学实验动物研究所</w:t>
      </w:r>
    </w:p>
    <w:p w14:paraId="4A26BAD3">
      <w:pPr>
        <w:pStyle w:val="3"/>
        <w:spacing w:before="290" w:line="220" w:lineRule="auto"/>
        <w:ind w:left="1579"/>
      </w:pPr>
      <w:r>
        <w:rPr>
          <w:b/>
          <w:bCs/>
          <w:spacing w:val="-13"/>
        </w:rPr>
        <w:t>时</w:t>
      </w:r>
      <w:r>
        <w:rPr>
          <w:spacing w:val="9"/>
        </w:rPr>
        <w:t xml:space="preserve">     </w:t>
      </w:r>
      <w:r>
        <w:rPr>
          <w:b/>
          <w:bCs/>
          <w:spacing w:val="-13"/>
        </w:rPr>
        <w:t>间：202</w:t>
      </w:r>
      <w:r>
        <w:rPr>
          <w:rFonts w:hint="eastAsia"/>
          <w:b/>
          <w:bCs/>
          <w:spacing w:val="-13"/>
          <w:lang w:val="en-US" w:eastAsia="zh-CN"/>
        </w:rPr>
        <w:t>6</w:t>
      </w:r>
      <w:r>
        <w:rPr>
          <w:b/>
          <w:bCs/>
          <w:spacing w:val="-13"/>
        </w:rPr>
        <w:t>年</w:t>
      </w:r>
      <w:r>
        <w:rPr>
          <w:rFonts w:hint="eastAsia"/>
          <w:b/>
          <w:bCs/>
          <w:spacing w:val="-13"/>
          <w:lang w:val="en-US" w:eastAsia="zh-CN"/>
        </w:rPr>
        <w:t xml:space="preserve"> </w:t>
      </w:r>
      <w:r>
        <w:rPr>
          <w:rFonts w:hint="eastAsia"/>
          <w:spacing w:val="-39"/>
          <w:lang w:val="en-US" w:eastAsia="zh-CN"/>
        </w:rPr>
        <w:t xml:space="preserve">3 </w:t>
      </w:r>
      <w:r>
        <w:rPr>
          <w:b/>
          <w:bCs/>
          <w:spacing w:val="-13"/>
        </w:rPr>
        <w:t>月</w:t>
      </w:r>
      <w:r>
        <w:rPr>
          <w:spacing w:val="-57"/>
        </w:rPr>
        <w:t xml:space="preserve"> </w:t>
      </w:r>
      <w:r>
        <w:rPr>
          <w:rFonts w:hint="eastAsia"/>
          <w:b/>
          <w:bCs/>
          <w:spacing w:val="-13"/>
          <w:lang w:val="en-US" w:eastAsia="zh-CN"/>
        </w:rPr>
        <w:t>3</w:t>
      </w:r>
      <w:r>
        <w:rPr>
          <w:spacing w:val="-13"/>
        </w:rPr>
        <w:t xml:space="preserve"> </w:t>
      </w:r>
      <w:r>
        <w:rPr>
          <w:b/>
          <w:bCs/>
          <w:spacing w:val="-13"/>
        </w:rPr>
        <w:t>日</w:t>
      </w:r>
    </w:p>
    <w:p w14:paraId="611EC440">
      <w:pPr>
        <w:spacing w:line="220" w:lineRule="auto"/>
        <w:sectPr>
          <w:pgSz w:w="11906" w:h="16839"/>
          <w:pgMar w:top="1431" w:right="1785" w:bottom="0" w:left="1785" w:header="0" w:footer="0" w:gutter="0"/>
          <w:cols w:space="720" w:num="1"/>
        </w:sectPr>
      </w:pPr>
    </w:p>
    <w:p w14:paraId="4708716D">
      <w:pPr>
        <w:pStyle w:val="3"/>
        <w:spacing w:before="162" w:line="224" w:lineRule="auto"/>
        <w:ind w:left="2281"/>
        <w:outlineLvl w:val="0"/>
        <w:rPr>
          <w:rFonts w:hint="eastAsia" w:ascii="宋体" w:hAnsi="宋体" w:eastAsia="宋体" w:cs="宋体"/>
          <w:b/>
          <w:bCs/>
          <w:spacing w:val="4"/>
          <w:sz w:val="32"/>
          <w:szCs w:val="32"/>
        </w:rPr>
      </w:pPr>
      <w:r>
        <w:rPr>
          <w:rFonts w:hint="eastAsia" w:ascii="宋体" w:hAnsi="宋体" w:eastAsia="宋体" w:cs="宋体"/>
          <w:b/>
          <w:bCs/>
          <w:spacing w:val="4"/>
          <w:sz w:val="32"/>
          <w:szCs w:val="32"/>
        </w:rPr>
        <w:t>中国实验动物学会团体标准</w:t>
      </w:r>
    </w:p>
    <w:p w14:paraId="00B355F0">
      <w:pPr>
        <w:pStyle w:val="3"/>
        <w:spacing w:before="162" w:line="224" w:lineRule="auto"/>
        <w:outlineLvl w:val="0"/>
        <w:rPr>
          <w:rFonts w:hint="eastAsia" w:ascii="宋体" w:hAnsi="宋体" w:eastAsia="宋体" w:cs="宋体"/>
          <w:b/>
          <w:bCs/>
          <w:sz w:val="32"/>
          <w:szCs w:val="32"/>
        </w:rPr>
      </w:pPr>
      <w:r>
        <w:rPr>
          <w:rFonts w:hint="eastAsia" w:ascii="宋体" w:hAnsi="宋体" w:eastAsia="宋体" w:cs="宋体"/>
          <w:b/>
          <w:bCs/>
          <w:spacing w:val="6"/>
          <w:sz w:val="32"/>
          <w:szCs w:val="32"/>
        </w:rPr>
        <w:t xml:space="preserve">《实验动物 </w:t>
      </w:r>
      <w:r>
        <w:rPr>
          <w:rFonts w:hint="eastAsia" w:ascii="宋体" w:hAnsi="宋体" w:eastAsia="宋体" w:cs="宋体"/>
          <w:b/>
          <w:bCs/>
          <w:color w:val="auto"/>
          <w:sz w:val="32"/>
          <w:szCs w:val="32"/>
          <w:highlight w:val="none"/>
        </w:rPr>
        <w:t>无菌小鼠肠道微生物移植模型数据</w:t>
      </w:r>
      <w:r>
        <w:rPr>
          <w:rFonts w:hint="eastAsia" w:ascii="宋体" w:hAnsi="宋体" w:eastAsia="宋体" w:cs="宋体"/>
          <w:b/>
          <w:bCs/>
          <w:color w:val="auto"/>
          <w:sz w:val="32"/>
          <w:szCs w:val="32"/>
          <w:highlight w:val="none"/>
          <w:lang w:val="en-US" w:eastAsia="zh-CN"/>
        </w:rPr>
        <w:t>采集规范</w:t>
      </w:r>
      <w:r>
        <w:rPr>
          <w:rFonts w:hint="eastAsia" w:ascii="宋体" w:hAnsi="宋体" w:eastAsia="宋体" w:cs="宋体"/>
          <w:b/>
          <w:bCs/>
          <w:spacing w:val="6"/>
          <w:sz w:val="32"/>
          <w:szCs w:val="32"/>
        </w:rPr>
        <w:t>》</w:t>
      </w:r>
    </w:p>
    <w:p w14:paraId="1471FDB9">
      <w:pPr>
        <w:pStyle w:val="3"/>
        <w:spacing w:before="248" w:line="225" w:lineRule="auto"/>
        <w:ind w:left="3537"/>
        <w:outlineLvl w:val="0"/>
        <w:rPr>
          <w:rFonts w:hint="eastAsia" w:ascii="宋体" w:hAnsi="宋体" w:eastAsia="宋体" w:cs="宋体"/>
          <w:b/>
          <w:bCs/>
          <w:sz w:val="32"/>
          <w:szCs w:val="32"/>
        </w:rPr>
      </w:pPr>
      <w:r>
        <w:rPr>
          <w:rFonts w:hint="eastAsia" w:ascii="宋体" w:hAnsi="宋体" w:eastAsia="宋体" w:cs="宋体"/>
          <w:b/>
          <w:bCs/>
          <w:spacing w:val="3"/>
          <w:sz w:val="32"/>
          <w:szCs w:val="32"/>
        </w:rPr>
        <w:t>编制说明</w:t>
      </w:r>
    </w:p>
    <w:p w14:paraId="32B749FD">
      <w:pPr>
        <w:spacing w:line="301" w:lineRule="auto"/>
        <w:rPr>
          <w:rFonts w:ascii="Arial"/>
          <w:sz w:val="21"/>
        </w:rPr>
      </w:pPr>
    </w:p>
    <w:p w14:paraId="43C4B333">
      <w:pPr>
        <w:keepNext w:val="0"/>
        <w:keepLines w:val="0"/>
        <w:pageBreakBefore w:val="0"/>
        <w:wordWrap/>
        <w:overflowPunct/>
        <w:topLinePunct w:val="0"/>
        <w:bidi w:val="0"/>
        <w:spacing w:before="78" w:line="360" w:lineRule="auto"/>
        <w:rPr>
          <w:rFonts w:hint="eastAsia" w:ascii="宋体" w:hAnsi="宋体" w:eastAsia="宋体" w:cs="宋体"/>
          <w:b/>
          <w:bCs/>
          <w:sz w:val="24"/>
          <w:szCs w:val="24"/>
        </w:rPr>
      </w:pPr>
      <w:r>
        <w:rPr>
          <w:rFonts w:hint="eastAsia" w:ascii="仿宋" w:hAnsi="仿宋" w:eastAsia="仿宋" w:cs="仿宋"/>
          <w:b/>
          <w:bCs/>
          <w:spacing w:val="-2"/>
          <w:sz w:val="24"/>
          <w:szCs w:val="24"/>
        </w:rPr>
        <w:t>（一） 工作简况，包括任务来源、协作单位</w:t>
      </w:r>
    </w:p>
    <w:p w14:paraId="6B797F1A">
      <w:pPr>
        <w:keepNext w:val="0"/>
        <w:keepLines w:val="0"/>
        <w:pageBreakBefore w:val="0"/>
        <w:wordWrap/>
        <w:overflowPunct/>
        <w:topLinePunct w:val="0"/>
        <w:bidi w:val="0"/>
        <w:spacing w:before="78" w:line="360" w:lineRule="auto"/>
        <w:ind w:right="26" w:firstLine="476" w:firstLineChars="200"/>
        <w:jc w:val="both"/>
        <w:rPr>
          <w:rFonts w:hint="default" w:ascii="Times New Roman" w:hAnsi="Times New Roman" w:eastAsia="仿宋" w:cs="Times New Roman"/>
          <w:spacing w:val="-7"/>
          <w:sz w:val="24"/>
          <w:szCs w:val="24"/>
          <w:lang w:val="en-US" w:eastAsia="zh-CN"/>
        </w:rPr>
      </w:pPr>
      <w:r>
        <w:rPr>
          <w:rFonts w:hint="default" w:ascii="Times New Roman" w:hAnsi="Times New Roman" w:eastAsia="仿宋" w:cs="Times New Roman"/>
          <w:spacing w:val="-1"/>
          <w:sz w:val="24"/>
          <w:szCs w:val="24"/>
        </w:rPr>
        <w:t>202</w:t>
      </w:r>
      <w:r>
        <w:rPr>
          <w:rFonts w:hint="default" w:ascii="Times New Roman" w:hAnsi="Times New Roman" w:eastAsia="仿宋" w:cs="Times New Roman"/>
          <w:spacing w:val="-1"/>
          <w:sz w:val="24"/>
          <w:szCs w:val="24"/>
          <w:lang w:val="en-US" w:eastAsia="zh-CN"/>
        </w:rPr>
        <w:t>5</w:t>
      </w:r>
      <w:r>
        <w:rPr>
          <w:rFonts w:hint="default" w:ascii="Times New Roman" w:hAnsi="Times New Roman" w:eastAsia="仿宋" w:cs="Times New Roman"/>
          <w:spacing w:val="-1"/>
          <w:sz w:val="24"/>
          <w:szCs w:val="24"/>
        </w:rPr>
        <w:t>年</w:t>
      </w:r>
      <w:r>
        <w:rPr>
          <w:rFonts w:hint="default" w:ascii="Times New Roman" w:hAnsi="Times New Roman" w:eastAsia="仿宋" w:cs="Times New Roman"/>
          <w:spacing w:val="-1"/>
          <w:sz w:val="24"/>
          <w:szCs w:val="24"/>
          <w:lang w:val="en-US" w:eastAsia="zh-CN"/>
        </w:rPr>
        <w:t>5</w:t>
      </w:r>
      <w:r>
        <w:rPr>
          <w:rFonts w:hint="default" w:ascii="Times New Roman" w:hAnsi="Times New Roman" w:eastAsia="仿宋" w:cs="Times New Roman"/>
          <w:spacing w:val="-1"/>
          <w:sz w:val="24"/>
          <w:szCs w:val="24"/>
        </w:rPr>
        <w:t>月由</w:t>
      </w:r>
      <w:r>
        <w:rPr>
          <w:rFonts w:hint="default" w:ascii="Times New Roman" w:hAnsi="Times New Roman" w:eastAsia="仿宋" w:cs="Times New Roman"/>
          <w:spacing w:val="-1"/>
          <w:sz w:val="24"/>
          <w:szCs w:val="24"/>
          <w:lang w:val="en-US" w:eastAsia="zh-CN"/>
        </w:rPr>
        <w:t>中国医学科学院医学实验动物研究所</w:t>
      </w:r>
      <w:r>
        <w:rPr>
          <w:rFonts w:hint="default" w:ascii="Times New Roman" w:hAnsi="Times New Roman" w:eastAsia="仿宋" w:cs="Times New Roman"/>
          <w:spacing w:val="-1"/>
          <w:sz w:val="24"/>
          <w:szCs w:val="24"/>
        </w:rPr>
        <w:t>向全国实验动物标</w:t>
      </w:r>
      <w:r>
        <w:rPr>
          <w:rFonts w:hint="default" w:ascii="Times New Roman" w:hAnsi="Times New Roman" w:eastAsia="仿宋" w:cs="Times New Roman"/>
          <w:spacing w:val="-2"/>
          <w:sz w:val="24"/>
          <w:szCs w:val="24"/>
        </w:rPr>
        <w:t>准化技术委员会提交</w:t>
      </w:r>
      <w:r>
        <w:rPr>
          <w:rFonts w:hint="default" w:ascii="Times New Roman" w:hAnsi="Times New Roman" w:eastAsia="仿宋" w:cs="Times New Roman"/>
          <w:spacing w:val="-7"/>
          <w:sz w:val="24"/>
          <w:szCs w:val="24"/>
        </w:rPr>
        <w:t xml:space="preserve">了《实验动物 </w:t>
      </w:r>
      <w:r>
        <w:rPr>
          <w:rFonts w:hint="default" w:ascii="Times New Roman" w:hAnsi="Times New Roman" w:eastAsia="仿宋" w:cs="Times New Roman"/>
          <w:spacing w:val="-7"/>
          <w:sz w:val="24"/>
          <w:szCs w:val="24"/>
          <w:lang w:eastAsia="zh-CN"/>
        </w:rPr>
        <w:t>无菌小鼠微生物移植动物模型数据采集规范</w:t>
      </w:r>
      <w:r>
        <w:rPr>
          <w:rFonts w:hint="default" w:ascii="Times New Roman" w:hAnsi="Times New Roman" w:eastAsia="仿宋" w:cs="Times New Roman"/>
          <w:spacing w:val="-7"/>
          <w:sz w:val="24"/>
          <w:szCs w:val="24"/>
        </w:rPr>
        <w:t>》</w:t>
      </w:r>
      <w:r>
        <w:rPr>
          <w:rFonts w:hint="default" w:ascii="Times New Roman" w:hAnsi="Times New Roman" w:eastAsia="仿宋" w:cs="Times New Roman"/>
          <w:spacing w:val="-7"/>
          <w:sz w:val="24"/>
          <w:szCs w:val="24"/>
          <w:lang w:val="en-US" w:eastAsia="zh-CN"/>
        </w:rPr>
        <w:t>初稿</w:t>
      </w:r>
      <w:r>
        <w:rPr>
          <w:rFonts w:hint="default" w:ascii="Times New Roman" w:hAnsi="Times New Roman" w:eastAsia="仿宋" w:cs="Times New Roman"/>
          <w:spacing w:val="-7"/>
          <w:sz w:val="24"/>
          <w:szCs w:val="24"/>
          <w:lang w:eastAsia="zh-CN"/>
        </w:rPr>
        <w:t>。</w:t>
      </w:r>
      <w:r>
        <w:rPr>
          <w:rFonts w:hint="default" w:ascii="Times New Roman" w:hAnsi="Times New Roman" w:eastAsia="仿宋" w:cs="Times New Roman"/>
          <w:spacing w:val="-7"/>
          <w:sz w:val="24"/>
          <w:szCs w:val="24"/>
          <w:lang w:val="en-US" w:eastAsia="zh-CN"/>
        </w:rPr>
        <w:t>本标准属于行业团体标准，标准编制目的在于规范对</w:t>
      </w:r>
      <w:r>
        <w:rPr>
          <w:rFonts w:hint="default" w:ascii="Times New Roman" w:hAnsi="Times New Roman" w:eastAsia="仿宋" w:cs="Times New Roman"/>
          <w:color w:val="000000"/>
          <w:sz w:val="24"/>
          <w:szCs w:val="24"/>
          <w:lang w:val="en-US" w:eastAsia="zh-CN" w:bidi="en-US"/>
        </w:rPr>
        <w:t>无菌小鼠肠道微生物移植模型制备及模型评价过程中产生相关数据采集的技术要求。标准结合当前国内外研究现状及科研工作者的实际需求，内容涵盖生理数据、生化数据、病理数据、微生物组学等数据的采集，兼顾了科学性、适应性与前瞻性。</w:t>
      </w:r>
    </w:p>
    <w:p w14:paraId="0C0BA78C">
      <w:pPr>
        <w:keepNext w:val="0"/>
        <w:keepLines w:val="0"/>
        <w:pageBreakBefore w:val="0"/>
        <w:wordWrap/>
        <w:overflowPunct/>
        <w:topLinePunct w:val="0"/>
        <w:bidi w:val="0"/>
        <w:spacing w:before="78" w:line="360" w:lineRule="auto"/>
        <w:ind w:right="26" w:firstLine="476" w:firstLineChars="200"/>
        <w:jc w:val="both"/>
        <w:rPr>
          <w:rFonts w:hint="default" w:ascii="Times New Roman" w:hAnsi="Times New Roman" w:eastAsia="仿宋" w:cs="Times New Roman"/>
          <w:spacing w:val="-1"/>
          <w:sz w:val="24"/>
          <w:szCs w:val="24"/>
          <w:lang w:val="en-US" w:eastAsia="zh-CN"/>
        </w:rPr>
      </w:pPr>
      <w:r>
        <w:rPr>
          <w:rFonts w:hint="default" w:ascii="Times New Roman" w:hAnsi="Times New Roman" w:eastAsia="仿宋" w:cs="Times New Roman"/>
          <w:spacing w:val="-1"/>
          <w:sz w:val="24"/>
          <w:szCs w:val="24"/>
          <w:lang w:val="en-US" w:eastAsia="zh-CN"/>
        </w:rPr>
        <w:t>本标准的起草工作是在中国动物学会标准化委员会的指导下进行的，任务来源于国家重点研发计划《</w:t>
      </w:r>
      <w:r>
        <w:rPr>
          <w:rFonts w:hint="default" w:ascii="Times New Roman" w:hAnsi="Times New Roman" w:eastAsia="仿宋" w:cs="Times New Roman"/>
          <w:bCs/>
          <w:sz w:val="24"/>
          <w:szCs w:val="24"/>
        </w:rPr>
        <w:t>免疫系统人源化和人体肠道菌群相关疾病小鼠、小型猪模型资源创制</w:t>
      </w:r>
      <w:r>
        <w:rPr>
          <w:rFonts w:hint="default" w:ascii="Times New Roman" w:hAnsi="Times New Roman" w:eastAsia="仿宋" w:cs="Times New Roman"/>
          <w:spacing w:val="-1"/>
          <w:sz w:val="24"/>
          <w:szCs w:val="24"/>
          <w:lang w:val="en-US" w:eastAsia="zh-CN"/>
        </w:rPr>
        <w:t>》（</w:t>
      </w:r>
      <w:r>
        <w:rPr>
          <w:rFonts w:hint="default" w:ascii="Times New Roman" w:hAnsi="Times New Roman" w:eastAsia="仿宋" w:cs="Times New Roman"/>
          <w:sz w:val="24"/>
          <w:szCs w:val="24"/>
        </w:rPr>
        <w:t>项目编号：2022YFF0710600</w:t>
      </w:r>
      <w:r>
        <w:rPr>
          <w:rFonts w:hint="default" w:ascii="Times New Roman" w:hAnsi="Times New Roman" w:eastAsia="仿宋" w:cs="Times New Roman"/>
          <w:spacing w:val="-1"/>
          <w:sz w:val="24"/>
          <w:szCs w:val="24"/>
          <w:lang w:val="en-US" w:eastAsia="zh-CN"/>
        </w:rPr>
        <w:t>），标准的制定充分考量了无菌动物在实验动物行业的发展趋势和应用前景。</w:t>
      </w:r>
    </w:p>
    <w:p w14:paraId="641F8609">
      <w:pPr>
        <w:keepNext w:val="0"/>
        <w:keepLines w:val="0"/>
        <w:pageBreakBefore w:val="0"/>
        <w:wordWrap/>
        <w:overflowPunct/>
        <w:topLinePunct w:val="0"/>
        <w:bidi w:val="0"/>
        <w:spacing w:line="360" w:lineRule="auto"/>
        <w:ind w:firstLine="435"/>
        <w:rPr>
          <w:rFonts w:hint="default" w:ascii="Times New Roman" w:hAnsi="Times New Roman" w:eastAsia="仿宋" w:cs="Times New Roman"/>
          <w:spacing w:val="-1"/>
          <w:sz w:val="24"/>
          <w:szCs w:val="24"/>
          <w:lang w:val="en-US" w:eastAsia="zh-CN"/>
        </w:rPr>
      </w:pPr>
      <w:r>
        <w:rPr>
          <w:rFonts w:hint="default" w:ascii="Times New Roman" w:hAnsi="Times New Roman" w:eastAsia="仿宋" w:cs="Times New Roman"/>
          <w:spacing w:val="-1"/>
          <w:sz w:val="24"/>
          <w:szCs w:val="24"/>
          <w:lang w:val="en-US" w:eastAsia="zh-CN"/>
        </w:rPr>
        <w:t>标准的起草单位包括中国</w:t>
      </w:r>
      <w:r>
        <w:rPr>
          <w:rFonts w:hint="default" w:ascii="Times New Roman" w:hAnsi="Times New Roman" w:eastAsia="仿宋" w:cs="Times New Roman"/>
          <w:color w:val="000000"/>
          <w:sz w:val="24"/>
          <w:szCs w:val="24"/>
          <w:lang w:val="en-US" w:eastAsia="zh-CN"/>
        </w:rPr>
        <w:t>中国医学科学院医学实验动物研究所</w:t>
      </w:r>
      <w:r>
        <w:rPr>
          <w:rFonts w:hint="default" w:ascii="Times New Roman" w:hAnsi="Times New Roman" w:eastAsia="仿宋" w:cs="Times New Roman"/>
          <w:color w:val="000000"/>
          <w:sz w:val="24"/>
          <w:szCs w:val="24"/>
          <w:lang w:eastAsia="zh-CN"/>
        </w:rPr>
        <w:t>、</w:t>
      </w:r>
      <w:r>
        <w:rPr>
          <w:rFonts w:hint="default" w:ascii="Times New Roman" w:hAnsi="Times New Roman" w:eastAsia="仿宋" w:cs="Times New Roman"/>
          <w:color w:val="000000"/>
          <w:sz w:val="24"/>
          <w:szCs w:val="24"/>
          <w:lang w:val="en-US" w:eastAsia="zh-CN"/>
        </w:rPr>
        <w:t>首都医科大学附属北京朝阳医院</w:t>
      </w:r>
      <w:r>
        <w:rPr>
          <w:rFonts w:hint="default" w:ascii="Times New Roman" w:hAnsi="Times New Roman" w:eastAsia="仿宋" w:cs="Times New Roman"/>
          <w:color w:val="000000"/>
          <w:sz w:val="24"/>
          <w:szCs w:val="24"/>
          <w:lang w:eastAsia="zh-CN"/>
        </w:rPr>
        <w:t>、</w:t>
      </w:r>
      <w:r>
        <w:rPr>
          <w:rFonts w:hint="default" w:ascii="Times New Roman" w:hAnsi="Times New Roman" w:eastAsia="仿宋" w:cs="Times New Roman"/>
          <w:color w:val="000000"/>
          <w:sz w:val="24"/>
          <w:szCs w:val="24"/>
          <w:lang w:val="en-US" w:eastAsia="zh-CN"/>
        </w:rPr>
        <w:t>中国医学科学院肿瘤研究所、中国科学院动物研究所</w:t>
      </w:r>
      <w:r>
        <w:rPr>
          <w:rFonts w:hint="default" w:ascii="Times New Roman" w:hAnsi="Times New Roman" w:eastAsia="仿宋" w:cs="Times New Roman"/>
          <w:color w:val="000000"/>
          <w:sz w:val="24"/>
          <w:szCs w:val="24"/>
          <w:lang w:eastAsia="zh-CN"/>
        </w:rPr>
        <w:t>。</w:t>
      </w:r>
      <w:r>
        <w:rPr>
          <w:rFonts w:hint="default" w:ascii="Times New Roman" w:hAnsi="Times New Roman" w:eastAsia="仿宋" w:cs="Times New Roman"/>
          <w:color w:val="000000"/>
          <w:sz w:val="24"/>
          <w:szCs w:val="24"/>
          <w:lang w:val="en-US" w:eastAsia="zh-CN"/>
        </w:rPr>
        <w:t>以上单位在无菌动物繁育、肠道微生物与疾病关系研究中具有丰厚的工作基础和研究经验，为标准的制定奠定了理论和实验工作基础。</w:t>
      </w:r>
    </w:p>
    <w:p w14:paraId="12B0F7E9">
      <w:pPr>
        <w:keepNext w:val="0"/>
        <w:keepLines w:val="0"/>
        <w:pageBreakBefore w:val="0"/>
        <w:wordWrap/>
        <w:overflowPunct/>
        <w:topLinePunct w:val="0"/>
        <w:bidi w:val="0"/>
        <w:spacing w:before="78" w:line="360" w:lineRule="auto"/>
        <w:ind w:right="26"/>
        <w:jc w:val="both"/>
        <w:rPr>
          <w:rFonts w:hint="default" w:ascii="Times New Roman" w:hAnsi="Times New Roman" w:eastAsia="仿宋" w:cs="Times New Roman"/>
          <w:b/>
          <w:bCs/>
          <w:sz w:val="24"/>
          <w:szCs w:val="24"/>
        </w:rPr>
      </w:pPr>
      <w:r>
        <w:rPr>
          <w:rFonts w:hint="default" w:ascii="Times New Roman" w:hAnsi="Times New Roman" w:eastAsia="仿宋" w:cs="Times New Roman"/>
          <w:b/>
          <w:bCs/>
          <w:spacing w:val="-1"/>
          <w:sz w:val="24"/>
          <w:szCs w:val="24"/>
        </w:rPr>
        <w:t>（二） 主要工作过程、标准主要起草人及其所做的工作等</w:t>
      </w:r>
    </w:p>
    <w:p w14:paraId="7FB5455A">
      <w:pPr>
        <w:keepNext w:val="0"/>
        <w:keepLines w:val="0"/>
        <w:pageBreakBefore w:val="0"/>
        <w:wordWrap/>
        <w:overflowPunct/>
        <w:topLinePunct w:val="0"/>
        <w:bidi w:val="0"/>
        <w:spacing w:before="78" w:line="360" w:lineRule="auto"/>
        <w:ind w:right="26"/>
        <w:rPr>
          <w:rFonts w:hint="default" w:ascii="Times New Roman" w:hAnsi="Times New Roman" w:eastAsia="仿宋" w:cs="Times New Roman"/>
          <w:b/>
          <w:bCs/>
          <w:spacing w:val="-3"/>
          <w:sz w:val="24"/>
          <w:szCs w:val="24"/>
          <w:lang w:val="en-US" w:eastAsia="zh-CN"/>
        </w:rPr>
      </w:pPr>
      <w:r>
        <w:rPr>
          <w:rFonts w:hint="default" w:ascii="Times New Roman" w:hAnsi="Times New Roman" w:eastAsia="仿宋" w:cs="Times New Roman"/>
          <w:b/>
          <w:bCs/>
          <w:spacing w:val="-3"/>
          <w:sz w:val="24"/>
          <w:szCs w:val="24"/>
          <w:lang w:val="en-US" w:eastAsia="zh-CN"/>
        </w:rPr>
        <w:t>1、主要工作过程</w:t>
      </w:r>
    </w:p>
    <w:p w14:paraId="1A465354">
      <w:pPr>
        <w:keepNext w:val="0"/>
        <w:keepLines w:val="0"/>
        <w:pageBreakBefore w:val="0"/>
        <w:wordWrap/>
        <w:overflowPunct/>
        <w:topLinePunct w:val="0"/>
        <w:bidi w:val="0"/>
        <w:spacing w:before="78" w:line="360" w:lineRule="auto"/>
        <w:ind w:right="26"/>
        <w:rPr>
          <w:rFonts w:hint="default" w:ascii="Times New Roman" w:hAnsi="Times New Roman" w:eastAsia="仿宋" w:cs="Times New Roman"/>
          <w:spacing w:val="-1"/>
          <w:sz w:val="24"/>
          <w:szCs w:val="24"/>
          <w:lang w:val="en-US" w:eastAsia="zh-CN"/>
        </w:rPr>
      </w:pPr>
      <w:r>
        <w:rPr>
          <w:rFonts w:hint="default" w:ascii="Times New Roman" w:hAnsi="Times New Roman" w:eastAsia="仿宋" w:cs="Times New Roman"/>
          <w:b w:val="0"/>
          <w:bCs w:val="0"/>
          <w:spacing w:val="-3"/>
          <w:sz w:val="24"/>
          <w:szCs w:val="24"/>
          <w:lang w:val="en-US" w:eastAsia="zh-CN"/>
        </w:rPr>
        <w:t>（1）立项：</w:t>
      </w:r>
      <w:r>
        <w:rPr>
          <w:rFonts w:hint="default" w:ascii="Times New Roman" w:hAnsi="Times New Roman" w:eastAsia="仿宋" w:cs="Times New Roman"/>
          <w:spacing w:val="-1"/>
          <w:sz w:val="24"/>
          <w:szCs w:val="24"/>
          <w:lang w:val="en-US" w:eastAsia="zh-CN"/>
        </w:rPr>
        <w:t>制定粪菌移植动物模型相关行业标准是国家重点研发计划《</w:t>
      </w:r>
      <w:r>
        <w:rPr>
          <w:rFonts w:hint="default" w:ascii="Times New Roman" w:hAnsi="Times New Roman" w:eastAsia="仿宋" w:cs="Times New Roman"/>
          <w:bCs/>
          <w:sz w:val="24"/>
          <w:szCs w:val="24"/>
        </w:rPr>
        <w:t>免疫系统人源化和人体肠道菌群相关疾病小鼠、小型猪模型资源创制</w:t>
      </w:r>
      <w:r>
        <w:rPr>
          <w:rFonts w:hint="default" w:ascii="Times New Roman" w:hAnsi="Times New Roman" w:eastAsia="仿宋" w:cs="Times New Roman"/>
          <w:spacing w:val="-1"/>
          <w:sz w:val="24"/>
          <w:szCs w:val="24"/>
          <w:lang w:val="en-US" w:eastAsia="zh-CN"/>
        </w:rPr>
        <w:t>》（</w:t>
      </w:r>
      <w:r>
        <w:rPr>
          <w:rFonts w:hint="default" w:ascii="Times New Roman" w:hAnsi="Times New Roman" w:eastAsia="仿宋" w:cs="Times New Roman"/>
          <w:sz w:val="24"/>
          <w:szCs w:val="24"/>
        </w:rPr>
        <w:t>项目编号：2022YFF0710600</w:t>
      </w:r>
      <w:r>
        <w:rPr>
          <w:rFonts w:hint="default" w:ascii="Times New Roman" w:hAnsi="Times New Roman" w:eastAsia="仿宋" w:cs="Times New Roman"/>
          <w:spacing w:val="-1"/>
          <w:sz w:val="24"/>
          <w:szCs w:val="24"/>
          <w:lang w:val="en-US" w:eastAsia="zh-CN"/>
        </w:rPr>
        <w:t>）研究内容之一，在中国实验动物学会的指导下成立了起草小组，根据课题进展结合国内外研究现状，确定了标准的主旨及技术框架。</w:t>
      </w:r>
    </w:p>
    <w:p w14:paraId="3A49AF2C">
      <w:pPr>
        <w:keepNext w:val="0"/>
        <w:keepLines w:val="0"/>
        <w:pageBreakBefore w:val="0"/>
        <w:numPr>
          <w:ilvl w:val="0"/>
          <w:numId w:val="0"/>
        </w:numPr>
        <w:wordWrap/>
        <w:overflowPunct/>
        <w:topLinePunct w:val="0"/>
        <w:bidi w:val="0"/>
        <w:spacing w:before="78" w:line="360" w:lineRule="auto"/>
        <w:ind w:right="26" w:rightChars="0"/>
        <w:rPr>
          <w:rFonts w:hint="default" w:ascii="Times New Roman" w:hAnsi="Times New Roman" w:eastAsia="仿宋" w:cs="Times New Roman"/>
          <w:spacing w:val="-1"/>
          <w:sz w:val="24"/>
          <w:szCs w:val="24"/>
          <w:lang w:val="en-US" w:eastAsia="zh-CN"/>
        </w:rPr>
      </w:pPr>
      <w:r>
        <w:rPr>
          <w:rFonts w:hint="default" w:ascii="Times New Roman" w:hAnsi="Times New Roman" w:eastAsia="仿宋" w:cs="Times New Roman"/>
          <w:spacing w:val="-1"/>
          <w:sz w:val="24"/>
          <w:szCs w:val="24"/>
          <w:lang w:val="en-US" w:eastAsia="zh-CN"/>
        </w:rPr>
        <w:t>（2）资料总结：工作人员明确分工，对课题现有研究成果进行总结整理，</w:t>
      </w:r>
      <w:r>
        <w:rPr>
          <w:rFonts w:hint="default" w:ascii="Times New Roman" w:hAnsi="Times New Roman" w:eastAsia="仿宋" w:cs="Times New Roman"/>
          <w:spacing w:val="-3"/>
          <w:sz w:val="24"/>
          <w:szCs w:val="24"/>
          <w:lang w:val="en-US" w:eastAsia="zh-CN"/>
        </w:rPr>
        <w:t>查阅</w:t>
      </w:r>
      <w:r>
        <w:rPr>
          <w:rFonts w:hint="default" w:ascii="Times New Roman" w:hAnsi="Times New Roman" w:eastAsia="仿宋" w:cs="Times New Roman"/>
          <w:spacing w:val="-3"/>
          <w:sz w:val="24"/>
          <w:szCs w:val="24"/>
        </w:rPr>
        <w:t>国内外相关文献</w:t>
      </w:r>
      <w:r>
        <w:rPr>
          <w:rFonts w:hint="default" w:ascii="Times New Roman" w:hAnsi="Times New Roman" w:eastAsia="仿宋" w:cs="Times New Roman"/>
          <w:spacing w:val="-3"/>
          <w:sz w:val="24"/>
          <w:szCs w:val="24"/>
          <w:lang w:eastAsia="zh-CN"/>
        </w:rPr>
        <w:t>，</w:t>
      </w:r>
      <w:r>
        <w:rPr>
          <w:rFonts w:hint="default" w:ascii="Times New Roman" w:hAnsi="Times New Roman" w:eastAsia="仿宋" w:cs="Times New Roman"/>
          <w:spacing w:val="-1"/>
          <w:sz w:val="24"/>
          <w:szCs w:val="24"/>
          <w:lang w:val="en-US" w:eastAsia="zh-CN"/>
        </w:rPr>
        <w:t>结合相关标准实施情况，对本研究领域最新研究进展、需要解决的关键问题进行分析，为标准制定奠定理论和工作基础。</w:t>
      </w:r>
    </w:p>
    <w:p w14:paraId="20B252F2">
      <w:pPr>
        <w:keepNext w:val="0"/>
        <w:keepLines w:val="0"/>
        <w:pageBreakBefore w:val="0"/>
        <w:numPr>
          <w:ilvl w:val="0"/>
          <w:numId w:val="0"/>
        </w:numPr>
        <w:wordWrap/>
        <w:overflowPunct/>
        <w:topLinePunct w:val="0"/>
        <w:bidi w:val="0"/>
        <w:spacing w:before="78" w:line="360" w:lineRule="auto"/>
        <w:ind w:right="26" w:rightChars="0"/>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1"/>
          <w:sz w:val="24"/>
          <w:szCs w:val="24"/>
          <w:lang w:val="en-US" w:eastAsia="zh-CN"/>
        </w:rPr>
        <w:t>（3）拟定初稿：</w:t>
      </w:r>
      <w:r>
        <w:rPr>
          <w:rFonts w:hint="default" w:ascii="Times New Roman" w:hAnsi="Times New Roman" w:eastAsia="仿宋" w:cs="Times New Roman"/>
          <w:spacing w:val="-3"/>
          <w:sz w:val="24"/>
          <w:szCs w:val="24"/>
          <w:lang w:val="en-US" w:eastAsia="zh-CN"/>
        </w:rPr>
        <w:t>通过对实验结果进行总结，结合所查阅的相关文献资料，起草人员经过充分讨论和反复修改，围绕标准主旨拟定了标准初稿。</w:t>
      </w:r>
    </w:p>
    <w:p w14:paraId="2474A734">
      <w:pPr>
        <w:keepNext w:val="0"/>
        <w:keepLines w:val="0"/>
        <w:pageBreakBefore w:val="0"/>
        <w:numPr>
          <w:ilvl w:val="0"/>
          <w:numId w:val="0"/>
        </w:numPr>
        <w:wordWrap/>
        <w:overflowPunct/>
        <w:topLinePunct w:val="0"/>
        <w:bidi w:val="0"/>
        <w:spacing w:before="78" w:line="360" w:lineRule="auto"/>
        <w:ind w:right="26" w:rightChars="0"/>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3"/>
          <w:sz w:val="24"/>
          <w:szCs w:val="24"/>
          <w:lang w:val="en-US" w:eastAsia="zh-CN"/>
        </w:rPr>
        <w:t>（4）征求意见：初稿形成后，通过向相关研究机构征求意见、邀请专家集中现场评估等方式广泛征求意见和建议，对专家提出的有针对性的问题进行多次评估与修改。</w:t>
      </w:r>
    </w:p>
    <w:p w14:paraId="74575F2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3"/>
          <w:sz w:val="24"/>
          <w:szCs w:val="24"/>
          <w:lang w:val="en-US" w:eastAsia="zh-CN"/>
        </w:rPr>
        <w:t>（5）专家审查、定稿：</w:t>
      </w:r>
      <w:r>
        <w:rPr>
          <w:rFonts w:hint="default" w:ascii="Times New Roman" w:hAnsi="Times New Roman" w:eastAsia="仿宋" w:cs="Times New Roman"/>
          <w:snapToGrid w:val="0"/>
          <w:color w:val="000000"/>
          <w:kern w:val="0"/>
          <w:sz w:val="24"/>
          <w:szCs w:val="24"/>
          <w:lang w:val="en-US" w:eastAsia="zh-CN" w:bidi="ar"/>
        </w:rPr>
        <w:t>由全国实验动物标准化技术委员会（</w:t>
      </w:r>
      <w:r>
        <w:rPr>
          <w:rFonts w:hint="default" w:ascii="Times New Roman" w:hAnsi="Times New Roman" w:eastAsia="宋体" w:cs="Times New Roman"/>
          <w:snapToGrid w:val="0"/>
          <w:color w:val="000000"/>
          <w:kern w:val="0"/>
          <w:sz w:val="24"/>
          <w:szCs w:val="24"/>
          <w:lang w:val="en-US" w:eastAsia="zh-CN" w:bidi="ar"/>
        </w:rPr>
        <w:t>SAC/TC281</w:t>
      </w:r>
      <w:r>
        <w:rPr>
          <w:rFonts w:hint="default" w:ascii="Times New Roman" w:hAnsi="Times New Roman" w:eastAsia="仿宋" w:cs="Times New Roman"/>
          <w:snapToGrid w:val="0"/>
          <w:color w:val="000000"/>
          <w:kern w:val="0"/>
          <w:sz w:val="24"/>
          <w:szCs w:val="24"/>
          <w:lang w:val="en-US" w:eastAsia="zh-CN" w:bidi="ar"/>
        </w:rPr>
        <w:t>）组织专家进行会议评审，认为标准的技术内容符合实际需求，听取与会专家意见对标准对标准进行补充修改后最终形成定稿。</w:t>
      </w:r>
    </w:p>
    <w:p w14:paraId="1B77A0AC">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b/>
          <w:bCs/>
          <w:spacing w:val="-3"/>
          <w:sz w:val="24"/>
          <w:szCs w:val="24"/>
          <w:highlight w:val="none"/>
          <w:lang w:val="en-US" w:eastAsia="zh-CN"/>
        </w:rPr>
      </w:pPr>
      <w:r>
        <w:rPr>
          <w:rFonts w:hint="default" w:ascii="Times New Roman" w:hAnsi="Times New Roman" w:eastAsia="仿宋" w:cs="Times New Roman"/>
          <w:b/>
          <w:bCs/>
          <w:spacing w:val="-3"/>
          <w:sz w:val="24"/>
          <w:szCs w:val="24"/>
          <w:highlight w:val="none"/>
          <w:lang w:val="en-US" w:eastAsia="zh-CN"/>
        </w:rPr>
        <w:t>2、标准起草人及其主要工作</w:t>
      </w:r>
    </w:p>
    <w:p w14:paraId="43A0FB7C">
      <w:pPr>
        <w:keepNext w:val="0"/>
        <w:keepLines w:val="0"/>
        <w:pageBreakBefore w:val="0"/>
        <w:wordWrap/>
        <w:overflowPunct/>
        <w:topLinePunct w:val="0"/>
        <w:bidi w:val="0"/>
        <w:spacing w:before="195" w:line="360" w:lineRule="auto"/>
        <w:ind w:right="26" w:firstLine="468" w:firstLineChars="200"/>
        <w:jc w:val="both"/>
        <w:rPr>
          <w:rFonts w:hint="default" w:ascii="Times New Roman" w:hAnsi="Times New Roman" w:eastAsia="仿宋" w:cs="Times New Roman"/>
          <w:spacing w:val="-3"/>
          <w:sz w:val="24"/>
          <w:szCs w:val="24"/>
          <w:highlight w:val="none"/>
        </w:rPr>
      </w:pPr>
      <w:r>
        <w:rPr>
          <w:rFonts w:hint="default" w:ascii="Times New Roman" w:hAnsi="Times New Roman" w:eastAsia="仿宋" w:cs="Times New Roman"/>
          <w:spacing w:val="-3"/>
          <w:sz w:val="24"/>
          <w:szCs w:val="24"/>
          <w:highlight w:val="none"/>
        </w:rPr>
        <w:t>标准起草人包括</w:t>
      </w:r>
      <w:r>
        <w:rPr>
          <w:rFonts w:hint="default" w:ascii="Times New Roman" w:hAnsi="Times New Roman" w:eastAsia="仿宋" w:cs="Times New Roman"/>
          <w:spacing w:val="-3"/>
          <w:sz w:val="24"/>
          <w:szCs w:val="24"/>
          <w:highlight w:val="none"/>
          <w:lang w:val="en-US" w:eastAsia="zh-CN"/>
        </w:rPr>
        <w:t>朱华</w:t>
      </w:r>
      <w:r>
        <w:rPr>
          <w:rFonts w:hint="default" w:ascii="Times New Roman" w:hAnsi="Times New Roman" w:eastAsia="仿宋" w:cs="Times New Roman"/>
          <w:spacing w:val="-3"/>
          <w:sz w:val="24"/>
          <w:szCs w:val="24"/>
          <w:highlight w:val="none"/>
        </w:rPr>
        <w:t>、</w:t>
      </w:r>
      <w:r>
        <w:rPr>
          <w:rFonts w:hint="default" w:ascii="Times New Roman" w:hAnsi="Times New Roman" w:eastAsia="仿宋" w:cs="Times New Roman"/>
          <w:spacing w:val="-3"/>
          <w:sz w:val="24"/>
          <w:szCs w:val="24"/>
          <w:highlight w:val="none"/>
          <w:lang w:val="en-US" w:eastAsia="zh-CN"/>
        </w:rPr>
        <w:t>杨志伟</w:t>
      </w:r>
      <w:r>
        <w:rPr>
          <w:rFonts w:hint="default" w:ascii="Times New Roman" w:hAnsi="Times New Roman" w:eastAsia="仿宋" w:cs="Times New Roman"/>
          <w:spacing w:val="-3"/>
          <w:sz w:val="24"/>
          <w:szCs w:val="24"/>
          <w:highlight w:val="none"/>
        </w:rPr>
        <w:t>、</w:t>
      </w:r>
      <w:r>
        <w:rPr>
          <w:rFonts w:hint="default" w:ascii="Times New Roman" w:hAnsi="Times New Roman" w:eastAsia="仿宋" w:cs="Times New Roman"/>
          <w:spacing w:val="-3"/>
          <w:sz w:val="24"/>
          <w:szCs w:val="24"/>
          <w:highlight w:val="none"/>
          <w:lang w:val="en-US" w:eastAsia="zh-CN"/>
        </w:rPr>
        <w:t>刘星</w:t>
      </w:r>
      <w:r>
        <w:rPr>
          <w:rFonts w:hint="default" w:ascii="Times New Roman" w:hAnsi="Times New Roman" w:eastAsia="仿宋" w:cs="Times New Roman"/>
          <w:spacing w:val="-3"/>
          <w:sz w:val="24"/>
          <w:szCs w:val="24"/>
          <w:highlight w:val="none"/>
        </w:rPr>
        <w:t>、</w:t>
      </w:r>
      <w:r>
        <w:rPr>
          <w:rFonts w:hint="default" w:ascii="Times New Roman" w:hAnsi="Times New Roman" w:eastAsia="仿宋" w:cs="Times New Roman"/>
          <w:spacing w:val="-3"/>
          <w:sz w:val="24"/>
          <w:szCs w:val="24"/>
          <w:highlight w:val="none"/>
          <w:lang w:val="en-US" w:eastAsia="zh-CN"/>
        </w:rPr>
        <w:t>李晶、冯林、赵建国等</w:t>
      </w:r>
      <w:r>
        <w:rPr>
          <w:rFonts w:hint="default" w:ascii="Times New Roman" w:hAnsi="Times New Roman" w:eastAsia="仿宋" w:cs="Times New Roman"/>
          <w:spacing w:val="-3"/>
          <w:sz w:val="24"/>
          <w:szCs w:val="24"/>
          <w:highlight w:val="none"/>
        </w:rPr>
        <w:t>。</w:t>
      </w:r>
    </w:p>
    <w:p w14:paraId="246754BE">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3"/>
          <w:sz w:val="24"/>
          <w:szCs w:val="24"/>
          <w:highlight w:val="none"/>
          <w:lang w:val="en-US" w:eastAsia="zh-CN"/>
        </w:rPr>
      </w:pPr>
      <w:r>
        <w:rPr>
          <w:rFonts w:hint="default" w:ascii="Times New Roman" w:hAnsi="Times New Roman" w:eastAsia="仿宋" w:cs="Times New Roman"/>
          <w:spacing w:val="-3"/>
          <w:sz w:val="24"/>
          <w:szCs w:val="24"/>
          <w:highlight w:val="none"/>
          <w:lang w:val="en-US" w:eastAsia="zh-CN"/>
        </w:rPr>
        <w:t>（1）朱华负责</w:t>
      </w:r>
      <w:r>
        <w:rPr>
          <w:rFonts w:hint="default" w:ascii="Times New Roman" w:hAnsi="Times New Roman" w:eastAsia="仿宋" w:cs="Times New Roman"/>
          <w:spacing w:val="-3"/>
          <w:sz w:val="24"/>
          <w:szCs w:val="24"/>
          <w:highlight w:val="none"/>
        </w:rPr>
        <w:t>全面</w:t>
      </w:r>
      <w:r>
        <w:rPr>
          <w:rFonts w:hint="default" w:ascii="Times New Roman" w:hAnsi="Times New Roman" w:eastAsia="仿宋" w:cs="Times New Roman"/>
          <w:spacing w:val="-4"/>
          <w:sz w:val="24"/>
          <w:szCs w:val="24"/>
          <w:highlight w:val="none"/>
        </w:rPr>
        <w:t>统筹</w:t>
      </w:r>
      <w:r>
        <w:rPr>
          <w:rFonts w:hint="default" w:ascii="Times New Roman" w:hAnsi="Times New Roman" w:eastAsia="仿宋" w:cs="Times New Roman"/>
          <w:spacing w:val="-4"/>
          <w:sz w:val="24"/>
          <w:szCs w:val="24"/>
          <w:highlight w:val="none"/>
          <w:lang w:val="en-US" w:eastAsia="zh-CN"/>
        </w:rPr>
        <w:t>本</w:t>
      </w:r>
      <w:r>
        <w:rPr>
          <w:rFonts w:hint="default" w:ascii="Times New Roman" w:hAnsi="Times New Roman" w:eastAsia="仿宋" w:cs="Times New Roman"/>
          <w:spacing w:val="-4"/>
          <w:sz w:val="24"/>
          <w:szCs w:val="24"/>
          <w:highlight w:val="none"/>
        </w:rPr>
        <w:t>标准编</w:t>
      </w:r>
      <w:r>
        <w:rPr>
          <w:rFonts w:hint="default" w:ascii="Times New Roman" w:hAnsi="Times New Roman" w:eastAsia="仿宋" w:cs="Times New Roman"/>
          <w:spacing w:val="-3"/>
          <w:sz w:val="24"/>
          <w:szCs w:val="24"/>
          <w:highlight w:val="none"/>
        </w:rPr>
        <w:t>写工作</w:t>
      </w:r>
      <w:r>
        <w:rPr>
          <w:rFonts w:hint="default" w:ascii="Times New Roman" w:hAnsi="Times New Roman" w:eastAsia="仿宋" w:cs="Times New Roman"/>
          <w:spacing w:val="-3"/>
          <w:sz w:val="24"/>
          <w:szCs w:val="24"/>
          <w:highlight w:val="none"/>
          <w:lang w:eastAsia="zh-CN"/>
        </w:rPr>
        <w:t>，</w:t>
      </w:r>
      <w:r>
        <w:rPr>
          <w:rFonts w:hint="default" w:ascii="Times New Roman" w:hAnsi="Times New Roman" w:eastAsia="仿宋" w:cs="Times New Roman"/>
          <w:spacing w:val="-3"/>
          <w:sz w:val="24"/>
          <w:szCs w:val="24"/>
          <w:highlight w:val="none"/>
          <w:lang w:val="en-US" w:eastAsia="zh-CN"/>
        </w:rPr>
        <w:t>包括确定技术框架，标准初稿修改，粪菌移植、模型评价技术资料总结及标准相关内容撰写；</w:t>
      </w:r>
    </w:p>
    <w:p w14:paraId="153D42E7">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3"/>
          <w:sz w:val="24"/>
          <w:szCs w:val="24"/>
          <w:highlight w:val="none"/>
          <w:lang w:val="en-US" w:eastAsia="zh-CN"/>
        </w:rPr>
      </w:pPr>
      <w:r>
        <w:rPr>
          <w:rFonts w:hint="default" w:ascii="Times New Roman" w:hAnsi="Times New Roman" w:eastAsia="仿宋" w:cs="Times New Roman"/>
          <w:spacing w:val="-3"/>
          <w:sz w:val="24"/>
          <w:szCs w:val="24"/>
          <w:highlight w:val="none"/>
          <w:lang w:val="en-US" w:eastAsia="zh-CN"/>
        </w:rPr>
        <w:t>（2）杨志伟负责总结课题内不同种类粪菌移植模型的技术参数、查阅国内外相关领域文献；</w:t>
      </w:r>
    </w:p>
    <w:p w14:paraId="3A79CDF5">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3"/>
          <w:sz w:val="24"/>
          <w:szCs w:val="24"/>
          <w:highlight w:val="none"/>
          <w:lang w:val="en-US" w:eastAsia="zh-CN"/>
        </w:rPr>
      </w:pPr>
      <w:r>
        <w:rPr>
          <w:rFonts w:hint="default" w:ascii="Times New Roman" w:hAnsi="Times New Roman" w:eastAsia="仿宋" w:cs="Times New Roman"/>
          <w:spacing w:val="-3"/>
          <w:sz w:val="24"/>
          <w:szCs w:val="24"/>
          <w:highlight w:val="none"/>
          <w:lang w:val="en-US" w:eastAsia="zh-CN"/>
        </w:rPr>
        <w:t>（3）刘星</w:t>
      </w:r>
      <w:r>
        <w:rPr>
          <w:rFonts w:hint="default" w:ascii="Times New Roman" w:hAnsi="Times New Roman" w:eastAsia="仿宋" w:cs="Times New Roman"/>
          <w:spacing w:val="-3"/>
          <w:sz w:val="24"/>
          <w:szCs w:val="24"/>
          <w:highlight w:val="none"/>
        </w:rPr>
        <w:t>承担编写秘书</w:t>
      </w:r>
      <w:r>
        <w:rPr>
          <w:rFonts w:hint="default" w:ascii="Times New Roman" w:hAnsi="Times New Roman" w:eastAsia="仿宋" w:cs="Times New Roman"/>
          <w:spacing w:val="-3"/>
          <w:sz w:val="24"/>
          <w:szCs w:val="24"/>
          <w:highlight w:val="none"/>
          <w:lang w:eastAsia="zh-CN"/>
        </w:rPr>
        <w:t>，</w:t>
      </w:r>
      <w:r>
        <w:rPr>
          <w:rFonts w:hint="default" w:ascii="Times New Roman" w:hAnsi="Times New Roman" w:eastAsia="仿宋" w:cs="Times New Roman"/>
          <w:spacing w:val="-3"/>
          <w:sz w:val="24"/>
          <w:szCs w:val="24"/>
          <w:highlight w:val="none"/>
          <w:lang w:val="en-US" w:eastAsia="zh-CN"/>
        </w:rPr>
        <w:t>主要负责根据所提供材料</w:t>
      </w:r>
      <w:r>
        <w:rPr>
          <w:rFonts w:hint="default" w:ascii="Times New Roman" w:hAnsi="Times New Roman" w:eastAsia="仿宋" w:cs="Times New Roman"/>
          <w:spacing w:val="-3"/>
          <w:sz w:val="24"/>
          <w:szCs w:val="24"/>
          <w:highlight w:val="none"/>
        </w:rPr>
        <w:t>标准</w:t>
      </w:r>
      <w:r>
        <w:rPr>
          <w:rFonts w:hint="default" w:ascii="Times New Roman" w:hAnsi="Times New Roman" w:eastAsia="仿宋" w:cs="Times New Roman"/>
          <w:spacing w:val="-3"/>
          <w:sz w:val="24"/>
          <w:szCs w:val="24"/>
          <w:highlight w:val="none"/>
          <w:lang w:val="en-US" w:eastAsia="zh-CN"/>
        </w:rPr>
        <w:t>初稿撰写</w:t>
      </w:r>
      <w:r>
        <w:rPr>
          <w:rFonts w:hint="default" w:ascii="Times New Roman" w:hAnsi="Times New Roman" w:eastAsia="仿宋" w:cs="Times New Roman"/>
          <w:spacing w:val="-3"/>
          <w:sz w:val="24"/>
          <w:szCs w:val="24"/>
          <w:highlight w:val="none"/>
        </w:rPr>
        <w:t>、</w:t>
      </w:r>
      <w:r>
        <w:rPr>
          <w:rFonts w:hint="default" w:ascii="Times New Roman" w:hAnsi="Times New Roman" w:eastAsia="仿宋" w:cs="Times New Roman"/>
          <w:spacing w:val="-3"/>
          <w:sz w:val="24"/>
          <w:szCs w:val="24"/>
          <w:highlight w:val="none"/>
          <w:lang w:val="en-US" w:eastAsia="zh-CN"/>
        </w:rPr>
        <w:t>讨论会议组织等工作；</w:t>
      </w:r>
    </w:p>
    <w:p w14:paraId="2055DAF9">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3"/>
          <w:sz w:val="24"/>
          <w:szCs w:val="24"/>
          <w:highlight w:val="none"/>
          <w:lang w:val="en-US" w:eastAsia="zh-CN"/>
        </w:rPr>
      </w:pPr>
      <w:r>
        <w:rPr>
          <w:rFonts w:hint="default" w:ascii="Times New Roman" w:hAnsi="Times New Roman" w:eastAsia="仿宋" w:cs="Times New Roman"/>
          <w:spacing w:val="-3"/>
          <w:sz w:val="24"/>
          <w:szCs w:val="24"/>
          <w:highlight w:val="none"/>
          <w:lang w:val="en-US" w:eastAsia="zh-CN"/>
        </w:rPr>
        <w:t>（4）李晶负责组学数据相关技术内容的撰写；</w:t>
      </w:r>
    </w:p>
    <w:p w14:paraId="5706BE9F">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1"/>
          <w:sz w:val="24"/>
          <w:szCs w:val="24"/>
          <w:highlight w:val="none"/>
          <w:lang w:eastAsia="zh-CN"/>
        </w:rPr>
      </w:pPr>
      <w:r>
        <w:rPr>
          <w:rFonts w:hint="default" w:ascii="Times New Roman" w:hAnsi="Times New Roman" w:eastAsia="仿宋" w:cs="Times New Roman"/>
          <w:spacing w:val="-3"/>
          <w:sz w:val="24"/>
          <w:szCs w:val="24"/>
          <w:highlight w:val="none"/>
          <w:lang w:val="en-US" w:eastAsia="zh-CN"/>
        </w:rPr>
        <w:t>（5）冯林负责临床数据采集、相关文献查阅技标准技术内容撰写</w:t>
      </w:r>
      <w:r>
        <w:rPr>
          <w:rFonts w:hint="default" w:ascii="Times New Roman" w:hAnsi="Times New Roman" w:eastAsia="仿宋" w:cs="Times New Roman"/>
          <w:spacing w:val="-1"/>
          <w:sz w:val="24"/>
          <w:szCs w:val="24"/>
          <w:highlight w:val="none"/>
          <w:lang w:eastAsia="zh-CN"/>
        </w:rPr>
        <w:t>；</w:t>
      </w:r>
    </w:p>
    <w:p w14:paraId="38A0F004">
      <w:pPr>
        <w:keepNext w:val="0"/>
        <w:keepLines w:val="0"/>
        <w:pageBreakBefore w:val="0"/>
        <w:wordWrap/>
        <w:overflowPunct/>
        <w:topLinePunct w:val="0"/>
        <w:bidi w:val="0"/>
        <w:spacing w:before="195" w:line="360" w:lineRule="auto"/>
        <w:ind w:right="26"/>
        <w:jc w:val="both"/>
        <w:rPr>
          <w:rFonts w:hint="default" w:ascii="Times New Roman" w:hAnsi="Times New Roman" w:eastAsia="仿宋" w:cs="Times New Roman"/>
          <w:spacing w:val="-1"/>
          <w:sz w:val="24"/>
          <w:szCs w:val="24"/>
          <w:highlight w:val="none"/>
          <w:lang w:val="en-US" w:eastAsia="zh-CN"/>
        </w:rPr>
      </w:pPr>
      <w:r>
        <w:rPr>
          <w:rFonts w:hint="default" w:ascii="Times New Roman" w:hAnsi="Times New Roman" w:eastAsia="仿宋" w:cs="Times New Roman"/>
          <w:spacing w:val="-1"/>
          <w:sz w:val="24"/>
          <w:szCs w:val="24"/>
          <w:highlight w:val="none"/>
          <w:lang w:val="en-US" w:eastAsia="zh-CN"/>
        </w:rPr>
        <w:t>（6）赵建国负责动物模型背景资料相关内容撰写。</w:t>
      </w:r>
    </w:p>
    <w:p w14:paraId="571134E1">
      <w:pPr>
        <w:keepNext w:val="0"/>
        <w:keepLines w:val="0"/>
        <w:pageBreakBefore w:val="0"/>
        <w:numPr>
          <w:ilvl w:val="0"/>
          <w:numId w:val="1"/>
        </w:numPr>
        <w:wordWrap/>
        <w:overflowPunct/>
        <w:topLinePunct w:val="0"/>
        <w:bidi w:val="0"/>
        <w:spacing w:before="198" w:line="360" w:lineRule="auto"/>
        <w:rPr>
          <w:rFonts w:hint="default" w:ascii="Times New Roman" w:hAnsi="Times New Roman" w:eastAsia="仿宋" w:cs="Times New Roman"/>
          <w:b/>
          <w:bCs/>
          <w:spacing w:val="-2"/>
          <w:sz w:val="24"/>
          <w:szCs w:val="24"/>
        </w:rPr>
      </w:pPr>
      <w:r>
        <w:rPr>
          <w:rFonts w:hint="default" w:ascii="Times New Roman" w:hAnsi="Times New Roman" w:eastAsia="仿宋" w:cs="Times New Roman"/>
          <w:b/>
          <w:bCs/>
          <w:spacing w:val="-2"/>
          <w:sz w:val="24"/>
          <w:szCs w:val="24"/>
        </w:rPr>
        <w:t>标准编写背景</w:t>
      </w:r>
    </w:p>
    <w:p w14:paraId="7D462AC3">
      <w:pPr>
        <w:pStyle w:val="3"/>
        <w:keepNext w:val="0"/>
        <w:keepLines w:val="0"/>
        <w:pageBreakBefore w:val="0"/>
        <w:wordWrap/>
        <w:overflowPunct/>
        <w:topLinePunct w:val="0"/>
        <w:bidi w:val="0"/>
        <w:spacing w:before="49" w:line="360" w:lineRule="auto"/>
        <w:ind w:firstLine="236" w:firstLineChars="100"/>
        <w:outlineLvl w:val="1"/>
        <w:rPr>
          <w:rFonts w:hint="default" w:ascii="Times New Roman" w:hAnsi="Times New Roman" w:eastAsia="仿宋" w:cs="Times New Roman"/>
          <w:b w:val="0"/>
          <w:bCs w:val="0"/>
          <w:spacing w:val="-2"/>
          <w:sz w:val="24"/>
          <w:szCs w:val="24"/>
        </w:rPr>
      </w:pPr>
      <w:r>
        <w:rPr>
          <w:rFonts w:hint="default" w:ascii="Times New Roman" w:hAnsi="Times New Roman" w:eastAsia="仿宋" w:cs="Times New Roman"/>
          <w:b w:val="0"/>
          <w:bCs w:val="0"/>
          <w:spacing w:val="-2"/>
          <w:sz w:val="24"/>
          <w:szCs w:val="24"/>
          <w:lang w:val="en-US" w:eastAsia="zh-CN"/>
        </w:rPr>
        <w:t>1、</w:t>
      </w:r>
      <w:r>
        <w:rPr>
          <w:rFonts w:hint="default" w:ascii="Times New Roman" w:hAnsi="Times New Roman" w:eastAsia="仿宋" w:cs="Times New Roman"/>
          <w:b w:val="0"/>
          <w:bCs w:val="0"/>
          <w:spacing w:val="-2"/>
          <w:sz w:val="24"/>
          <w:szCs w:val="24"/>
        </w:rPr>
        <w:t>微生物与机体健康密切相关</w:t>
      </w:r>
    </w:p>
    <w:p w14:paraId="70C147FB">
      <w:pPr>
        <w:pStyle w:val="9"/>
        <w:keepNext w:val="0"/>
        <w:keepLines w:val="0"/>
        <w:pageBreakBefore w:val="0"/>
        <w:wordWrap/>
        <w:overflowPunct/>
        <w:topLinePunct w:val="0"/>
        <w:bidi w:val="0"/>
        <w:spacing w:line="360" w:lineRule="auto"/>
        <w:ind w:firstLine="480"/>
        <w:rPr>
          <w:rFonts w:hint="default" w:ascii="Times New Roman" w:hAnsi="Times New Roman" w:eastAsia="仿宋" w:cs="Times New Roman"/>
          <w:sz w:val="24"/>
          <w:szCs w:val="24"/>
        </w:rPr>
      </w:pPr>
      <w:r>
        <w:rPr>
          <w:rFonts w:hint="default" w:ascii="Times New Roman" w:hAnsi="Times New Roman" w:eastAsia="仿宋" w:cs="Times New Roman"/>
          <w:sz w:val="24"/>
          <w:szCs w:val="24"/>
        </w:rPr>
        <w:t>人体是由真核细胞与其体内共生的原核细胞共同组成的“超级生物体”。肠道内各种微生物构成了一个错综复杂而又相对独立的微生态系统，参与人体的消化、吸收、代谢、免疫调节等各项机体功能，通过与宿主的相互作用影响人体的正常生理机能以及对疾病的易感性。肠道菌群在维持人体健康稳态中起的作用远远超出人们的想象。上个世纪以前，就已有关于肠道内某些细菌对人体益生性的相关记录，但当时对于肠道菌群的认识更多停留在单个或某几个细菌与宿主之间简单的共生关系上，并未真正意识到肠道菌群对于人体的意义。而且限于技术手段，无法对肠道内数量众多的未知细菌进行系统研究。近年来，随着新一代测序技术在微生物生态学的运用和发展，使得人们对肠道菌群与人类健康的关系有了更多了解。通过改变肠道菌群来调节人体基因从而达到治疗疾病的目的，具有非常重要的意义。</w:t>
      </w:r>
    </w:p>
    <w:p w14:paraId="7AD4D1FD">
      <w:pPr>
        <w:pStyle w:val="3"/>
        <w:keepNext w:val="0"/>
        <w:keepLines w:val="0"/>
        <w:pageBreakBefore w:val="0"/>
        <w:wordWrap/>
        <w:overflowPunct/>
        <w:topLinePunct w:val="0"/>
        <w:bidi w:val="0"/>
        <w:spacing w:before="56" w:line="360" w:lineRule="auto"/>
        <w:outlineLvl w:val="1"/>
        <w:rPr>
          <w:rFonts w:hint="default" w:ascii="Times New Roman" w:hAnsi="Times New Roman" w:eastAsia="仿宋" w:cs="Times New Roman"/>
          <w:b w:val="0"/>
          <w:bCs w:val="0"/>
          <w:sz w:val="24"/>
          <w:szCs w:val="24"/>
          <w:lang w:val="en-US" w:eastAsia="zh-CN"/>
        </w:rPr>
      </w:pPr>
      <w:r>
        <w:rPr>
          <w:rFonts w:hint="default" w:ascii="Times New Roman" w:hAnsi="Times New Roman" w:eastAsia="仿宋" w:cs="Times New Roman"/>
          <w:sz w:val="24"/>
          <w:szCs w:val="24"/>
          <w:lang w:val="en-US" w:eastAsia="zh-CN"/>
        </w:rPr>
        <w:t>2、</w:t>
      </w:r>
      <w:r>
        <w:rPr>
          <w:rFonts w:hint="default" w:ascii="Times New Roman" w:hAnsi="Times New Roman" w:eastAsia="仿宋" w:cs="Times New Roman"/>
          <w:b w:val="0"/>
          <w:bCs w:val="0"/>
          <w:spacing w:val="-3"/>
          <w:sz w:val="24"/>
          <w:szCs w:val="24"/>
          <w:lang w:val="en-US" w:eastAsia="zh-CN"/>
        </w:rPr>
        <w:t>无菌小鼠微生物移植模型应用广泛</w:t>
      </w:r>
    </w:p>
    <w:p w14:paraId="0D36FA63">
      <w:pPr>
        <w:pStyle w:val="10"/>
        <w:keepNext w:val="0"/>
        <w:keepLines w:val="0"/>
        <w:pageBreakBefore w:val="0"/>
        <w:tabs>
          <w:tab w:val="left" w:pos="2160"/>
          <w:tab w:val="left" w:pos="2340"/>
        </w:tabs>
        <w:wordWrap/>
        <w:overflowPunct/>
        <w:topLinePunct w:val="0"/>
        <w:bidi w:val="0"/>
        <w:snapToGrid w:val="0"/>
        <w:spacing w:before="156" w:beforeLines="50" w:after="156" w:afterLines="50" w:line="360" w:lineRule="auto"/>
        <w:ind w:left="90"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由于实验动物肠道菌群组成及代谢活性与人存在显著差异，因此将动物体内实验结果外推到人不是完全可靠的。利用无菌动物构建接种人肠道菌群获得的人源菌群动物（Human Flora-associated Animal，HFA）可以为研究人肠道微生态系统提供一个更为直接、有效的模型，其优势在于能有效控制宿主的遗传背景、菌群、饮食及其它环境因素。作为净化级别最高的特殊动物，无菌动物没有微生物的干扰，具有微生物背景最清晰的优点，因此可有效控制基因、菌群微生物及饮食等环境因素造成的混杂性偏倚，是研究机体健康和疾病与肠道菌群之间关联性的最有效动物模型之一，非常适用于研究宿主和肠道菌群之间的相互关系。</w:t>
      </w:r>
      <w:r>
        <w:rPr>
          <w:rFonts w:hint="default" w:ascii="Times New Roman" w:hAnsi="Times New Roman" w:eastAsia="仿宋" w:cs="Times New Roman"/>
          <w:bCs/>
          <w:sz w:val="24"/>
          <w:szCs w:val="24"/>
        </w:rPr>
        <w:t>HFA 小鼠和大鼠的研究表明，人类的肠道菌群可以在无菌小鼠和大鼠体内定植，肠道菌群的组成保持了人肠道菌群的特征，在肠道细菌数量、代谢速率和酶活性等方面与人体相似，能较好保持人粪便菌群的细菌学酶学特性，适于进行人肠道微生物系统和代谢组学及益生元对人肠道菌群的影响等研究。随着精准医疗概念的提出，对作为重要研究工具的模型的提出了更高的要求。冠心病、糖尿病、炎症性肠管炎和直结肠肿瘤是常见病多发病，已有文献报道冠心病患者肠道双歧杆菌、乳酸杆菌减少，大肠杆菌等有害菌增加。其机制如何？通过益生元或功能营养因子调节肠道菌群能否改善患者治疗后生活质量？动物模型是否能全面反映宿主与肠道菌群间的关系？</w:t>
      </w:r>
      <w:r>
        <w:rPr>
          <w:rFonts w:hint="default" w:ascii="Times New Roman" w:hAnsi="Times New Roman" w:eastAsia="仿宋" w:cs="Times New Roman"/>
          <w:sz w:val="24"/>
          <w:szCs w:val="24"/>
        </w:rPr>
        <w:t>这些科学问题还有待回答。</w:t>
      </w:r>
    </w:p>
    <w:p w14:paraId="3C30F973">
      <w:pPr>
        <w:keepNext w:val="0"/>
        <w:keepLines w:val="0"/>
        <w:pageBreakBefore w:val="0"/>
        <w:wordWrap/>
        <w:overflowPunct/>
        <w:topLinePunct w:val="0"/>
        <w:bidi w:val="0"/>
        <w:snapToGrid w:val="0"/>
        <w:spacing w:line="360" w:lineRule="auto"/>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高通量测序结果显示，冠心病患者肠道菌群中拟杆菌门等有益菌丰度降低，厚壁菌门等有害菌显著升高，同时血清中萘酚、甲基衣康酸、N-乙酰-D-葡萄糖胺-6-磷酸、L-肉毒碱等代谢产物含量与健康人群有显著差异。在炎症性肠病患者，粪便中大肠杆菌、肠球菌数量与IL-6，IL-17，IL-22等炎性因子的含量呈正相关。在直肠癌患者，产丁酸盐的罗氏菌属以及毛螺菌科等肠道菌的丰度降低，而丁酸盐具有抗增殖和抗癌作用。要解释这些代谢产物或炎性因子与肠道菌群间的关联性如何影响疾病的发生发展，进而寻找预防或治疗的靶点，能够全面模拟患者肠道微生态环境的HFA动物模型必不可少，而目前我国尚无此类模型。</w:t>
      </w:r>
    </w:p>
    <w:p w14:paraId="42A68FD0">
      <w:pPr>
        <w:keepNext w:val="0"/>
        <w:keepLines w:val="0"/>
        <w:pageBreakBefore w:val="0"/>
        <w:numPr>
          <w:ilvl w:val="0"/>
          <w:numId w:val="2"/>
        </w:numPr>
        <w:wordWrap/>
        <w:overflowPunct/>
        <w:topLinePunct w:val="0"/>
        <w:bidi w:val="0"/>
        <w:snapToGrid w:val="0"/>
        <w:spacing w:line="360" w:lineRule="auto"/>
        <w:jc w:val="left"/>
        <w:rPr>
          <w:rFonts w:hint="default" w:ascii="Times New Roman" w:hAnsi="Times New Roman" w:eastAsia="仿宋" w:cs="Times New Roman"/>
          <w:b w:val="0"/>
          <w:bCs w:val="0"/>
          <w:spacing w:val="-2"/>
          <w:sz w:val="24"/>
          <w:szCs w:val="24"/>
        </w:rPr>
      </w:pPr>
      <w:r>
        <w:rPr>
          <w:rFonts w:hint="default" w:ascii="Times New Roman" w:hAnsi="Times New Roman" w:eastAsia="仿宋" w:cs="Times New Roman"/>
          <w:b w:val="0"/>
          <w:bCs w:val="0"/>
          <w:spacing w:val="-2"/>
          <w:sz w:val="24"/>
          <w:szCs w:val="24"/>
          <w:lang w:val="en-US" w:eastAsia="zh-CN"/>
        </w:rPr>
        <w:t>无菌小鼠菌群移植模型数据采集</w:t>
      </w:r>
      <w:r>
        <w:rPr>
          <w:rFonts w:hint="default" w:ascii="Times New Roman" w:hAnsi="Times New Roman" w:eastAsia="仿宋" w:cs="Times New Roman"/>
          <w:b w:val="0"/>
          <w:bCs w:val="0"/>
          <w:spacing w:val="-2"/>
          <w:sz w:val="24"/>
          <w:szCs w:val="24"/>
        </w:rPr>
        <w:t>程序亟待标准化</w:t>
      </w:r>
    </w:p>
    <w:p w14:paraId="6A261A11">
      <w:pPr>
        <w:keepNext w:val="0"/>
        <w:keepLines w:val="0"/>
        <w:pageBreakBefore w:val="0"/>
        <w:numPr>
          <w:ilvl w:val="0"/>
          <w:numId w:val="0"/>
        </w:numPr>
        <w:wordWrap/>
        <w:overflowPunct/>
        <w:topLinePunct w:val="0"/>
        <w:bidi w:val="0"/>
        <w:snapToGrid w:val="0"/>
        <w:spacing w:line="360" w:lineRule="auto"/>
        <w:ind w:firstLine="480" w:firstLineChars="200"/>
        <w:jc w:val="left"/>
        <w:rPr>
          <w:rFonts w:hint="default" w:ascii="Times New Roman" w:hAnsi="Times New Roman" w:eastAsia="仿宋" w:cs="Times New Roman"/>
          <w:sz w:val="24"/>
          <w:szCs w:val="24"/>
        </w:rPr>
      </w:pPr>
      <w:r>
        <w:rPr>
          <w:rFonts w:hint="default" w:ascii="Times New Roman" w:hAnsi="Times New Roman" w:eastAsia="仿宋" w:cs="Times New Roman"/>
          <w:sz w:val="24"/>
          <w:szCs w:val="24"/>
        </w:rPr>
        <w:t>HFA动物模型与基因工程动物相比具有特殊性，其生物学特性等不能与通过冷冻胚胎等技术稳定遗传，只能在研究需要时以无菌动物为载体进行复制。所以通过项目一，我们不仅想要获得炎症性肠炎、直肠肿瘤、冠心病等疾病的HFA动物模型本身和相关的生物信息学、血液学、组织病理学、免疫学等背景资料，更希望通过模型制作技术和分析方法的规范化，保证动物实验结果的一致性和可重复性。</w:t>
      </w:r>
    </w:p>
    <w:p w14:paraId="7C205932">
      <w:pPr>
        <w:keepNext w:val="0"/>
        <w:keepLines w:val="0"/>
        <w:pageBreakBefore w:val="0"/>
        <w:wordWrap/>
        <w:overflowPunct/>
        <w:topLinePunct w:val="0"/>
        <w:bidi w:val="0"/>
        <w:spacing w:before="47" w:line="360" w:lineRule="auto"/>
        <w:ind w:firstLine="464" w:firstLineChars="200"/>
        <w:jc w:val="both"/>
        <w:rPr>
          <w:rFonts w:hint="default" w:ascii="Times New Roman" w:hAnsi="Times New Roman" w:eastAsia="仿宋" w:cs="Times New Roman"/>
          <w:sz w:val="24"/>
          <w:szCs w:val="24"/>
        </w:rPr>
      </w:pPr>
      <w:r>
        <w:rPr>
          <w:rFonts w:hint="default" w:ascii="Times New Roman" w:hAnsi="Times New Roman" w:eastAsia="仿宋" w:cs="Times New Roman"/>
          <w:spacing w:val="-4"/>
          <w:sz w:val="24"/>
          <w:szCs w:val="24"/>
          <w:lang w:val="en-US" w:eastAsia="zh-CN"/>
        </w:rPr>
        <w:t>国内目前已建立《</w:t>
      </w:r>
      <w:r>
        <w:rPr>
          <w:rFonts w:hint="default" w:ascii="Times New Roman" w:hAnsi="Times New Roman" w:eastAsia="仿宋" w:cs="Times New Roman"/>
          <w:sz w:val="24"/>
          <w:szCs w:val="24"/>
          <w:lang w:eastAsia="zh-CN"/>
        </w:rPr>
        <w:t xml:space="preserve">实验动物 </w:t>
      </w:r>
      <w:bookmarkStart w:id="0" w:name="OLE_LINK4"/>
      <w:bookmarkStart w:id="1" w:name="OLE_LINK3"/>
      <w:r>
        <w:rPr>
          <w:rFonts w:hint="default" w:ascii="Times New Roman" w:hAnsi="Times New Roman" w:eastAsia="仿宋" w:cs="Times New Roman"/>
          <w:sz w:val="24"/>
          <w:szCs w:val="24"/>
          <w:lang w:eastAsia="zh-CN"/>
        </w:rPr>
        <w:t>无菌小鼠肠道微生物移植模型制备和评价规范</w:t>
      </w:r>
      <w:bookmarkEnd w:id="0"/>
      <w:bookmarkEnd w:id="1"/>
      <w:r>
        <w:rPr>
          <w:rFonts w:hint="default" w:ascii="Times New Roman" w:hAnsi="Times New Roman" w:eastAsia="仿宋" w:cs="Times New Roman"/>
          <w:spacing w:val="-4"/>
          <w:sz w:val="24"/>
          <w:szCs w:val="24"/>
          <w:lang w:val="en-US" w:eastAsia="zh-CN"/>
        </w:rPr>
        <w:t>》。</w:t>
      </w:r>
      <w:r>
        <w:rPr>
          <w:rFonts w:hint="default" w:ascii="Times New Roman" w:hAnsi="Times New Roman" w:eastAsia="仿宋" w:cs="Times New Roman"/>
          <w:spacing w:val="-4"/>
          <w:sz w:val="24"/>
          <w:szCs w:val="24"/>
        </w:rPr>
        <w:t>然而</w:t>
      </w:r>
      <w:r>
        <w:rPr>
          <w:rFonts w:hint="default" w:ascii="Times New Roman" w:hAnsi="Times New Roman" w:eastAsia="仿宋" w:cs="Times New Roman"/>
          <w:spacing w:val="-4"/>
          <w:sz w:val="24"/>
          <w:szCs w:val="24"/>
          <w:lang w:val="en-US" w:eastAsia="zh-CN"/>
        </w:rPr>
        <w:t>通过规范操作收集样本、处理来评价模型方面的规范未建立。由于样本采集、处理、转运、数据保存带来的实验偏差影响了</w:t>
      </w:r>
      <w:r>
        <w:rPr>
          <w:rFonts w:hint="default" w:ascii="Times New Roman" w:hAnsi="Times New Roman" w:eastAsia="仿宋" w:cs="Times New Roman"/>
          <w:sz w:val="24"/>
          <w:szCs w:val="24"/>
          <w:lang w:eastAsia="zh-CN"/>
        </w:rPr>
        <w:t>无菌小鼠肠道微生物移植模型</w:t>
      </w:r>
      <w:r>
        <w:rPr>
          <w:rFonts w:hint="default" w:ascii="Times New Roman" w:hAnsi="Times New Roman" w:eastAsia="仿宋" w:cs="Times New Roman"/>
          <w:sz w:val="24"/>
          <w:szCs w:val="24"/>
          <w:lang w:val="en-US" w:eastAsia="zh-CN"/>
        </w:rPr>
        <w:t>的应用。</w:t>
      </w:r>
      <w:r>
        <w:rPr>
          <w:rFonts w:hint="default" w:ascii="Times New Roman" w:hAnsi="Times New Roman" w:eastAsia="仿宋" w:cs="Times New Roman"/>
          <w:spacing w:val="-3"/>
          <w:sz w:val="24"/>
          <w:szCs w:val="24"/>
        </w:rPr>
        <w:t>本标准结合</w:t>
      </w:r>
      <w:r>
        <w:rPr>
          <w:rFonts w:hint="default" w:ascii="Times New Roman" w:hAnsi="Times New Roman" w:eastAsia="仿宋" w:cs="Times New Roman"/>
          <w:spacing w:val="-3"/>
          <w:sz w:val="24"/>
          <w:szCs w:val="24"/>
          <w:lang w:val="en-US" w:eastAsia="zh-CN"/>
        </w:rPr>
        <w:t>本研究团队和</w:t>
      </w:r>
      <w:r>
        <w:rPr>
          <w:rFonts w:hint="default" w:ascii="Times New Roman" w:hAnsi="Times New Roman" w:eastAsia="仿宋" w:cs="Times New Roman"/>
          <w:spacing w:val="-3"/>
          <w:sz w:val="24"/>
          <w:szCs w:val="24"/>
        </w:rPr>
        <w:t>国内机构</w:t>
      </w:r>
      <w:r>
        <w:rPr>
          <w:rFonts w:hint="default" w:ascii="Times New Roman" w:hAnsi="Times New Roman" w:eastAsia="仿宋" w:cs="Times New Roman"/>
          <w:spacing w:val="-3"/>
          <w:sz w:val="24"/>
          <w:szCs w:val="24"/>
          <w:lang w:val="en-US" w:eastAsia="zh-CN"/>
        </w:rPr>
        <w:t>在</w:t>
      </w:r>
      <w:r>
        <w:rPr>
          <w:rFonts w:hint="default" w:ascii="Times New Roman" w:hAnsi="Times New Roman" w:eastAsia="仿宋" w:cs="Times New Roman"/>
          <w:spacing w:val="-3"/>
          <w:sz w:val="24"/>
          <w:szCs w:val="24"/>
        </w:rPr>
        <w:t>无菌</w:t>
      </w:r>
      <w:r>
        <w:rPr>
          <w:rFonts w:hint="default" w:ascii="Times New Roman" w:hAnsi="Times New Roman" w:eastAsia="仿宋" w:cs="Times New Roman"/>
          <w:spacing w:val="-3"/>
          <w:sz w:val="24"/>
          <w:szCs w:val="24"/>
          <w:lang w:val="en-US" w:eastAsia="zh-CN"/>
        </w:rPr>
        <w:t>小鼠</w:t>
      </w:r>
      <w:r>
        <w:rPr>
          <w:rFonts w:hint="default" w:ascii="Times New Roman" w:hAnsi="Times New Roman" w:eastAsia="仿宋" w:cs="Times New Roman"/>
          <w:spacing w:val="-3"/>
          <w:sz w:val="24"/>
          <w:szCs w:val="24"/>
        </w:rPr>
        <w:t>肠道微生</w:t>
      </w:r>
      <w:r>
        <w:rPr>
          <w:rFonts w:hint="default" w:ascii="Times New Roman" w:hAnsi="Times New Roman" w:eastAsia="仿宋" w:cs="Times New Roman"/>
          <w:spacing w:val="-4"/>
          <w:sz w:val="24"/>
          <w:szCs w:val="24"/>
        </w:rPr>
        <w:t>物移植操作</w:t>
      </w:r>
      <w:r>
        <w:rPr>
          <w:rFonts w:hint="default" w:ascii="Times New Roman" w:hAnsi="Times New Roman" w:eastAsia="仿宋" w:cs="Times New Roman"/>
          <w:spacing w:val="-3"/>
          <w:sz w:val="24"/>
          <w:szCs w:val="24"/>
        </w:rPr>
        <w:t>实践</w:t>
      </w:r>
      <w:r>
        <w:rPr>
          <w:rFonts w:hint="default" w:ascii="Times New Roman" w:hAnsi="Times New Roman" w:eastAsia="仿宋" w:cs="Times New Roman"/>
          <w:spacing w:val="-3"/>
          <w:sz w:val="24"/>
          <w:szCs w:val="24"/>
          <w:lang w:val="en-US" w:eastAsia="zh-CN"/>
        </w:rPr>
        <w:t>经验</w:t>
      </w:r>
      <w:r>
        <w:rPr>
          <w:rFonts w:hint="default" w:ascii="Times New Roman" w:hAnsi="Times New Roman" w:eastAsia="仿宋" w:cs="Times New Roman"/>
          <w:spacing w:val="-3"/>
          <w:sz w:val="24"/>
          <w:szCs w:val="24"/>
        </w:rPr>
        <w:t>，</w:t>
      </w:r>
      <w:r>
        <w:rPr>
          <w:rFonts w:hint="default" w:ascii="Times New Roman" w:hAnsi="Times New Roman" w:eastAsia="仿宋" w:cs="Times New Roman"/>
          <w:spacing w:val="-3"/>
          <w:sz w:val="24"/>
          <w:szCs w:val="24"/>
          <w:lang w:val="en-US" w:eastAsia="zh-CN"/>
        </w:rPr>
        <w:t>归纳</w:t>
      </w:r>
      <w:r>
        <w:rPr>
          <w:rFonts w:hint="default" w:ascii="Times New Roman" w:hAnsi="Times New Roman" w:eastAsia="仿宋" w:cs="Times New Roman"/>
          <w:spacing w:val="-3"/>
          <w:sz w:val="24"/>
          <w:szCs w:val="24"/>
        </w:rPr>
        <w:t>总结了</w:t>
      </w:r>
      <w:r>
        <w:rPr>
          <w:rFonts w:hint="default" w:ascii="Times New Roman" w:hAnsi="Times New Roman" w:eastAsia="仿宋" w:cs="Times New Roman"/>
          <w:sz w:val="24"/>
          <w:szCs w:val="24"/>
          <w:lang w:eastAsia="zh-CN"/>
        </w:rPr>
        <w:t>无菌小鼠肠道微生物移植模型</w:t>
      </w:r>
      <w:r>
        <w:rPr>
          <w:rFonts w:hint="default" w:ascii="Times New Roman" w:hAnsi="Times New Roman" w:eastAsia="仿宋" w:cs="Times New Roman"/>
          <w:sz w:val="24"/>
          <w:szCs w:val="24"/>
          <w:lang w:val="en-US" w:eastAsia="zh-CN"/>
        </w:rPr>
        <w:t>相关数据采集的操作规范</w:t>
      </w:r>
      <w:r>
        <w:rPr>
          <w:rFonts w:hint="default" w:ascii="Times New Roman" w:hAnsi="Times New Roman" w:eastAsia="仿宋" w:cs="Times New Roman"/>
          <w:spacing w:val="-3"/>
          <w:sz w:val="24"/>
          <w:szCs w:val="24"/>
        </w:rPr>
        <w:t>。本标准主要内</w:t>
      </w:r>
      <w:r>
        <w:rPr>
          <w:rFonts w:hint="default" w:ascii="Times New Roman" w:hAnsi="Times New Roman" w:eastAsia="仿宋" w:cs="Times New Roman"/>
          <w:spacing w:val="-4"/>
          <w:sz w:val="24"/>
          <w:szCs w:val="24"/>
        </w:rPr>
        <w:t>容包括</w:t>
      </w:r>
      <w:r>
        <w:rPr>
          <w:rFonts w:hint="default" w:ascii="Times New Roman" w:hAnsi="Times New Roman" w:eastAsia="仿宋" w:cs="Times New Roman"/>
          <w:sz w:val="24"/>
          <w:szCs w:val="24"/>
          <w:lang w:eastAsia="zh-CN"/>
        </w:rPr>
        <w:t>无菌小鼠肠道微生物移植模型</w:t>
      </w:r>
      <w:r>
        <w:rPr>
          <w:rFonts w:hint="default" w:ascii="Times New Roman" w:hAnsi="Times New Roman" w:eastAsia="仿宋" w:cs="Times New Roman"/>
          <w:sz w:val="24"/>
          <w:szCs w:val="24"/>
          <w:lang w:val="en-US" w:eastAsia="zh-CN"/>
        </w:rPr>
        <w:t>组织样本、血液样本、尿液样本、粪便及肠道内容物等</w:t>
      </w:r>
      <w:r>
        <w:rPr>
          <w:rFonts w:hint="default" w:ascii="Times New Roman" w:hAnsi="Times New Roman" w:eastAsia="仿宋" w:cs="Times New Roman"/>
          <w:spacing w:val="-4"/>
          <w:sz w:val="24"/>
          <w:szCs w:val="24"/>
          <w:lang w:val="en-US" w:eastAsia="zh-CN"/>
        </w:rPr>
        <w:t>的采集、处理、转运、数据保存的</w:t>
      </w:r>
      <w:r>
        <w:rPr>
          <w:rFonts w:hint="default" w:ascii="Times New Roman" w:hAnsi="Times New Roman" w:eastAsia="仿宋" w:cs="Times New Roman"/>
          <w:spacing w:val="-3"/>
          <w:sz w:val="24"/>
          <w:szCs w:val="24"/>
        </w:rPr>
        <w:t>相关指南，为国内从事</w:t>
      </w:r>
      <w:r>
        <w:rPr>
          <w:rFonts w:hint="default" w:ascii="Times New Roman" w:hAnsi="Times New Roman" w:eastAsia="仿宋" w:cs="Times New Roman"/>
          <w:spacing w:val="-3"/>
          <w:sz w:val="24"/>
          <w:szCs w:val="24"/>
          <w:lang w:val="en-US" w:eastAsia="zh-CN"/>
        </w:rPr>
        <w:t>无菌小鼠</w:t>
      </w:r>
      <w:r>
        <w:rPr>
          <w:rFonts w:hint="default" w:ascii="Times New Roman" w:hAnsi="Times New Roman" w:eastAsia="仿宋" w:cs="Times New Roman"/>
          <w:spacing w:val="-3"/>
          <w:sz w:val="24"/>
          <w:szCs w:val="24"/>
        </w:rPr>
        <w:t>肠道微生物移植模型</w:t>
      </w:r>
      <w:r>
        <w:rPr>
          <w:rFonts w:hint="default" w:ascii="Times New Roman" w:hAnsi="Times New Roman" w:eastAsia="仿宋" w:cs="Times New Roman"/>
          <w:spacing w:val="-3"/>
          <w:sz w:val="24"/>
          <w:szCs w:val="24"/>
          <w:lang w:val="en-US" w:eastAsia="zh-CN"/>
        </w:rPr>
        <w:t>的</w:t>
      </w:r>
      <w:r>
        <w:rPr>
          <w:rFonts w:hint="default" w:ascii="Times New Roman" w:hAnsi="Times New Roman" w:eastAsia="仿宋" w:cs="Times New Roman"/>
          <w:spacing w:val="-4"/>
          <w:sz w:val="24"/>
          <w:szCs w:val="24"/>
        </w:rPr>
        <w:t>研究机构提</w:t>
      </w:r>
      <w:r>
        <w:rPr>
          <w:rFonts w:hint="default" w:ascii="Times New Roman" w:hAnsi="Times New Roman" w:eastAsia="仿宋" w:cs="Times New Roman"/>
          <w:spacing w:val="-2"/>
          <w:sz w:val="24"/>
          <w:szCs w:val="24"/>
        </w:rPr>
        <w:t>供指导和参考。</w:t>
      </w:r>
    </w:p>
    <w:p w14:paraId="6D619E00">
      <w:pPr>
        <w:keepNext w:val="0"/>
        <w:keepLines w:val="0"/>
        <w:pageBreakBefore w:val="0"/>
        <w:wordWrap/>
        <w:overflowPunct/>
        <w:topLinePunct w:val="0"/>
        <w:bidi w:val="0"/>
        <w:spacing w:before="196" w:line="360" w:lineRule="auto"/>
        <w:rPr>
          <w:rFonts w:hint="default" w:ascii="Times New Roman" w:hAnsi="Times New Roman" w:eastAsia="仿宋" w:cs="Times New Roman"/>
          <w:b/>
          <w:bCs/>
          <w:sz w:val="24"/>
          <w:szCs w:val="24"/>
        </w:rPr>
      </w:pPr>
      <w:r>
        <w:rPr>
          <w:rFonts w:hint="default" w:ascii="Times New Roman" w:hAnsi="Times New Roman" w:eastAsia="仿宋" w:cs="Times New Roman"/>
          <w:b/>
          <w:bCs/>
          <w:spacing w:val="-2"/>
          <w:sz w:val="24"/>
          <w:szCs w:val="24"/>
        </w:rPr>
        <w:t>（四） 标准编制原则</w:t>
      </w:r>
    </w:p>
    <w:p w14:paraId="03501A6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本标准的编制是在充分考量了行业发展需求及相关研究领域的最新进展，</w:t>
      </w:r>
    </w:p>
    <w:p w14:paraId="57C7EED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sz w:val="24"/>
          <w:szCs w:val="24"/>
        </w:rPr>
      </w:pPr>
      <w:r>
        <w:rPr>
          <w:rFonts w:hint="default" w:ascii="Times New Roman" w:hAnsi="Times New Roman" w:eastAsia="仿宋" w:cs="Times New Roman"/>
          <w:snapToGrid w:val="0"/>
          <w:color w:val="000000"/>
          <w:kern w:val="0"/>
          <w:sz w:val="24"/>
          <w:szCs w:val="24"/>
          <w:lang w:val="en-US" w:eastAsia="zh-CN" w:bidi="ar"/>
        </w:rPr>
        <w:t xml:space="preserve">总结现有工作基础，结合国内外先进经验，全面考虑技术规范、伦理安全及应用实效的前提下完成的。主要遵循以下原则： </w:t>
      </w:r>
    </w:p>
    <w:p w14:paraId="61748B58">
      <w:pPr>
        <w:keepNext w:val="0"/>
        <w:keepLines w:val="0"/>
        <w:pageBreakBefore w:val="0"/>
        <w:widowControl/>
        <w:numPr>
          <w:ilvl w:val="0"/>
          <w:numId w:val="3"/>
        </w:numPr>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 xml:space="preserve">规范性 </w:t>
      </w:r>
    </w:p>
    <w:p w14:paraId="0AC88F5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宋体"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本标准按照</w:t>
      </w:r>
      <w:r>
        <w:rPr>
          <w:rFonts w:hint="default" w:ascii="Times New Roman" w:hAnsi="Times New Roman" w:eastAsia="宋体" w:cs="Times New Roman"/>
          <w:snapToGrid w:val="0"/>
          <w:color w:val="000000"/>
          <w:kern w:val="0"/>
          <w:sz w:val="24"/>
          <w:szCs w:val="24"/>
          <w:lang w:val="en-US" w:eastAsia="zh-CN" w:bidi="ar"/>
        </w:rPr>
        <w:t>GB/T1.1-2020</w:t>
      </w:r>
      <w:r>
        <w:rPr>
          <w:rFonts w:hint="default" w:ascii="Times New Roman" w:hAnsi="Times New Roman" w:eastAsia="仿宋" w:cs="Times New Roman"/>
          <w:snapToGrid w:val="0"/>
          <w:color w:val="000000"/>
          <w:kern w:val="0"/>
          <w:sz w:val="24"/>
          <w:szCs w:val="24"/>
          <w:lang w:val="en-US" w:eastAsia="zh-CN" w:bidi="ar"/>
        </w:rPr>
        <w:t>《标准化工作导则第</w:t>
      </w:r>
      <w:r>
        <w:rPr>
          <w:rFonts w:hint="default" w:ascii="Times New Roman" w:hAnsi="Times New Roman" w:eastAsia="宋体" w:cs="Times New Roman"/>
          <w:snapToGrid w:val="0"/>
          <w:color w:val="000000"/>
          <w:kern w:val="0"/>
          <w:sz w:val="24"/>
          <w:szCs w:val="24"/>
          <w:lang w:val="en-US" w:eastAsia="zh-CN" w:bidi="ar"/>
        </w:rPr>
        <w:t>1</w:t>
      </w:r>
      <w:r>
        <w:rPr>
          <w:rFonts w:hint="default" w:ascii="Times New Roman" w:hAnsi="Times New Roman" w:eastAsia="仿宋" w:cs="Times New Roman"/>
          <w:snapToGrid w:val="0"/>
          <w:color w:val="000000"/>
          <w:kern w:val="0"/>
          <w:sz w:val="24"/>
          <w:szCs w:val="24"/>
          <w:lang w:val="en-US" w:eastAsia="zh-CN" w:bidi="ar"/>
        </w:rPr>
        <w:t>部分：标准化文件的结构和起草规则》要求编写，书写格式上具有的规范的标准文本结构和表述方式。再标准内容上，对</w:t>
      </w:r>
      <w:r>
        <w:rPr>
          <w:rFonts w:hint="default" w:ascii="Times New Roman" w:hAnsi="Times New Roman" w:eastAsia="仿宋" w:cs="Times New Roman"/>
          <w:b w:val="0"/>
          <w:bCs w:val="0"/>
          <w:color w:val="auto"/>
          <w:sz w:val="24"/>
          <w:szCs w:val="24"/>
          <w:highlight w:val="none"/>
        </w:rPr>
        <w:t>无菌小鼠肠道微生物移植模型数据</w:t>
      </w:r>
      <w:r>
        <w:rPr>
          <w:rFonts w:hint="default" w:ascii="Times New Roman" w:hAnsi="Times New Roman" w:eastAsia="仿宋" w:cs="Times New Roman"/>
          <w:b w:val="0"/>
          <w:bCs w:val="0"/>
          <w:color w:val="auto"/>
          <w:sz w:val="24"/>
          <w:szCs w:val="24"/>
          <w:highlight w:val="none"/>
          <w:lang w:eastAsia="zh-CN"/>
        </w:rPr>
        <w:t>的</w:t>
      </w:r>
      <w:r>
        <w:rPr>
          <w:rFonts w:hint="default" w:ascii="Times New Roman" w:hAnsi="Times New Roman" w:eastAsia="仿宋" w:cs="Times New Roman"/>
          <w:b w:val="0"/>
          <w:bCs w:val="0"/>
          <w:color w:val="auto"/>
          <w:sz w:val="24"/>
          <w:szCs w:val="24"/>
          <w:highlight w:val="none"/>
          <w:lang w:val="en-US" w:eastAsia="zh-CN"/>
        </w:rPr>
        <w:t>采集等相关内容做出明确规定，为医学基础研究提供规范化的粪菌移植动物模型。</w:t>
      </w:r>
    </w:p>
    <w:p w14:paraId="0E6A387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2、科学性</w:t>
      </w:r>
    </w:p>
    <w:p w14:paraId="6B62365F">
      <w:pPr>
        <w:keepNext w:val="0"/>
        <w:keepLines w:val="0"/>
        <w:pageBreakBefore w:val="0"/>
        <w:widowControl/>
        <w:kinsoku w:val="0"/>
        <w:wordWrap/>
        <w:overflowPunct/>
        <w:topLinePunct w:val="0"/>
        <w:autoSpaceDE w:val="0"/>
        <w:autoSpaceDN w:val="0"/>
        <w:bidi w:val="0"/>
        <w:adjustRightInd w:val="0"/>
        <w:snapToGrid w:val="0"/>
        <w:spacing w:before="79" w:line="360" w:lineRule="auto"/>
        <w:ind w:left="32" w:right="38" w:firstLine="478"/>
        <w:textAlignment w:val="baseline"/>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标准起草人员都具有相关领域的研究经验，基于自己的工作基础结合国内外研究现状，确保标准内容有充分的理论依据；</w:t>
      </w:r>
    </w:p>
    <w:p w14:paraId="1D31B6AB">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79" w:line="360" w:lineRule="auto"/>
        <w:ind w:leftChars="0" w:right="38" w:rightChars="0"/>
        <w:textAlignment w:val="baseline"/>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3、适用性</w:t>
      </w:r>
    </w:p>
    <w:p w14:paraId="378073F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sz w:val="24"/>
          <w:szCs w:val="24"/>
        </w:rPr>
      </w:pPr>
      <w:r>
        <w:rPr>
          <w:rFonts w:hint="default" w:ascii="Times New Roman" w:hAnsi="Times New Roman" w:eastAsia="仿宋" w:cs="Times New Roman"/>
          <w:snapToGrid w:val="0"/>
          <w:color w:val="000000"/>
          <w:kern w:val="0"/>
          <w:sz w:val="24"/>
          <w:szCs w:val="24"/>
          <w:lang w:val="en-US" w:eastAsia="zh-CN" w:bidi="ar"/>
        </w:rPr>
        <w:t>标准制定时充分考量了我国实验动物的发展现状，注重模型制备和应用中数据采集的的可操作性，为相关科研院所、应用机构提供易于实施的技术指导，确保标准能够在实验室和应用场景中广泛推广；</w:t>
      </w:r>
    </w:p>
    <w:p w14:paraId="5B31D625">
      <w:pPr>
        <w:keepNext w:val="0"/>
        <w:keepLines w:val="0"/>
        <w:pageBreakBefore w:val="0"/>
        <w:numPr>
          <w:ilvl w:val="0"/>
          <w:numId w:val="2"/>
        </w:numPr>
        <w:wordWrap/>
        <w:overflowPunct/>
        <w:topLinePunct w:val="0"/>
        <w:bidi w:val="0"/>
        <w:spacing w:before="79" w:line="360" w:lineRule="auto"/>
        <w:ind w:left="0" w:leftChars="0" w:right="38" w:rightChars="0" w:firstLine="0" w:firstLineChars="0"/>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安全性</w:t>
      </w:r>
    </w:p>
    <w:p w14:paraId="359EDEC9">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lang w:val="en-US" w:eastAsia="zh-CN"/>
        </w:rPr>
      </w:pPr>
      <w:r>
        <w:rPr>
          <w:rFonts w:hint="default" w:ascii="Times New Roman" w:hAnsi="Times New Roman" w:eastAsia="仿宋" w:cs="Times New Roman"/>
          <w:sz w:val="24"/>
          <w:szCs w:val="24"/>
          <w:lang w:val="en-US" w:eastAsia="zh-CN"/>
        </w:rPr>
        <w:t xml:space="preserve">   </w:t>
      </w:r>
      <w:r>
        <w:rPr>
          <w:rFonts w:hint="eastAsia" w:ascii="Times New Roman" w:hAnsi="Times New Roman" w:eastAsia="仿宋" w:cs="Times New Roman"/>
          <w:sz w:val="24"/>
          <w:szCs w:val="24"/>
          <w:lang w:val="en-US" w:eastAsia="zh-CN"/>
        </w:rPr>
        <w:t xml:space="preserve">    </w:t>
      </w:r>
      <w:r>
        <w:rPr>
          <w:rFonts w:hint="default" w:ascii="Times New Roman" w:hAnsi="Times New Roman" w:eastAsia="仿宋" w:cs="Times New Roman"/>
          <w:sz w:val="24"/>
          <w:szCs w:val="24"/>
          <w:lang w:val="en-US" w:eastAsia="zh-CN"/>
        </w:rPr>
        <w:t>本标准在制定时</w:t>
      </w:r>
      <w:r>
        <w:rPr>
          <w:rFonts w:hint="default" w:ascii="Times New Roman" w:hAnsi="Times New Roman" w:eastAsia="仿宋" w:cs="Times New Roman"/>
          <w:snapToGrid w:val="0"/>
          <w:color w:val="000000"/>
          <w:kern w:val="0"/>
          <w:sz w:val="24"/>
          <w:szCs w:val="24"/>
          <w:lang w:val="en-US" w:eastAsia="zh-CN" w:bidi="ar"/>
        </w:rPr>
        <w:t>严格遵守实验动物福利和医学伦理要求，贯彻《中华人民共和国生物安全法》《中华人民共和国人类遗传资源管理条例》《实验动物管理条例》等相关法律法规，对人粪便样本采集、生物安全风险防控及实验动物管理做出明确规定，确保标准实施过程中伦理合规和生物安全可控。</w:t>
      </w:r>
    </w:p>
    <w:p w14:paraId="1F22913D">
      <w:pPr>
        <w:keepNext w:val="0"/>
        <w:keepLines w:val="0"/>
        <w:pageBreakBefore w:val="0"/>
        <w:widowControl/>
        <w:kinsoku w:val="0"/>
        <w:wordWrap/>
        <w:overflowPunct/>
        <w:topLinePunct w:val="0"/>
        <w:autoSpaceDE w:val="0"/>
        <w:autoSpaceDN w:val="0"/>
        <w:bidi w:val="0"/>
        <w:adjustRightInd w:val="0"/>
        <w:snapToGrid w:val="0"/>
        <w:spacing w:before="123" w:line="360" w:lineRule="auto"/>
        <w:ind w:right="11"/>
        <w:jc w:val="both"/>
        <w:textAlignment w:val="baseline"/>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（五） 确定标准主要内容（如技术指标、参数、公式、性能要求、试验方法、检验规则等）的论据（包括试验、统计数据</w:t>
      </w:r>
      <w:r>
        <w:rPr>
          <w:rFonts w:hint="default" w:ascii="Times New Roman" w:hAnsi="Times New Roman" w:eastAsia="仿宋" w:cs="Times New Roman"/>
          <w:b/>
          <w:bCs/>
          <w:spacing w:val="-52"/>
          <w:sz w:val="24"/>
          <w:szCs w:val="24"/>
        </w:rPr>
        <w:t>），</w:t>
      </w:r>
      <w:r>
        <w:rPr>
          <w:rFonts w:hint="default" w:ascii="Times New Roman" w:hAnsi="Times New Roman" w:eastAsia="仿宋" w:cs="Times New Roman"/>
          <w:b/>
          <w:bCs/>
          <w:sz w:val="24"/>
          <w:szCs w:val="24"/>
        </w:rPr>
        <w:t>修</w:t>
      </w:r>
      <w:r>
        <w:rPr>
          <w:rFonts w:hint="default" w:ascii="Times New Roman" w:hAnsi="Times New Roman" w:eastAsia="仿宋" w:cs="Times New Roman"/>
          <w:b/>
          <w:bCs/>
          <w:spacing w:val="-1"/>
          <w:sz w:val="24"/>
          <w:szCs w:val="24"/>
        </w:rPr>
        <w:t>订标准时，应增列新旧标</w:t>
      </w:r>
      <w:r>
        <w:rPr>
          <w:rFonts w:hint="default" w:ascii="Times New Roman" w:hAnsi="Times New Roman" w:eastAsia="仿宋" w:cs="Times New Roman"/>
          <w:b/>
          <w:bCs/>
          <w:spacing w:val="-3"/>
          <w:sz w:val="24"/>
          <w:szCs w:val="24"/>
        </w:rPr>
        <w:t>准水平的对比</w:t>
      </w:r>
    </w:p>
    <w:p w14:paraId="44563240">
      <w:pPr>
        <w:keepNext w:val="0"/>
        <w:keepLines w:val="0"/>
        <w:pageBreakBefore w:val="0"/>
        <w:widowControl/>
        <w:kinsoku w:val="0"/>
        <w:wordWrap/>
        <w:overflowPunct/>
        <w:topLinePunct w:val="0"/>
        <w:autoSpaceDE w:val="0"/>
        <w:autoSpaceDN w:val="0"/>
        <w:bidi w:val="0"/>
        <w:adjustRightInd w:val="0"/>
        <w:snapToGrid w:val="0"/>
        <w:spacing w:before="196" w:line="360" w:lineRule="auto"/>
        <w:ind w:left="30" w:right="11" w:firstLine="480"/>
        <w:jc w:val="both"/>
        <w:textAlignment w:val="baseline"/>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3"/>
          <w:sz w:val="24"/>
          <w:szCs w:val="24"/>
        </w:rPr>
        <w:t>本标准主要内</w:t>
      </w:r>
      <w:r>
        <w:rPr>
          <w:rFonts w:hint="default" w:ascii="Times New Roman" w:hAnsi="Times New Roman" w:eastAsia="仿宋" w:cs="Times New Roman"/>
          <w:spacing w:val="-4"/>
          <w:sz w:val="24"/>
          <w:szCs w:val="24"/>
        </w:rPr>
        <w:t>容包括</w:t>
      </w:r>
      <w:r>
        <w:rPr>
          <w:rFonts w:hint="default" w:ascii="Times New Roman" w:hAnsi="Times New Roman" w:eastAsia="仿宋" w:cs="Times New Roman"/>
          <w:sz w:val="24"/>
          <w:szCs w:val="24"/>
          <w:lang w:eastAsia="zh-CN"/>
        </w:rPr>
        <w:t>无菌小鼠肠道微生物移植模型</w:t>
      </w:r>
      <w:r>
        <w:rPr>
          <w:rFonts w:hint="default" w:ascii="Times New Roman" w:hAnsi="Times New Roman" w:eastAsia="仿宋" w:cs="Times New Roman"/>
          <w:sz w:val="24"/>
          <w:szCs w:val="24"/>
          <w:lang w:val="en-US" w:eastAsia="zh-CN"/>
        </w:rPr>
        <w:t>组织样本、血液样本、尿液样本、粪便及肠道内容物等</w:t>
      </w:r>
      <w:r>
        <w:rPr>
          <w:rFonts w:hint="default" w:ascii="Times New Roman" w:hAnsi="Times New Roman" w:eastAsia="仿宋" w:cs="Times New Roman"/>
          <w:spacing w:val="-4"/>
          <w:sz w:val="24"/>
          <w:szCs w:val="24"/>
          <w:lang w:val="en-US" w:eastAsia="zh-CN"/>
        </w:rPr>
        <w:t>的采集、处理、转运、数据保存的</w:t>
      </w:r>
      <w:r>
        <w:rPr>
          <w:rFonts w:hint="default" w:ascii="Times New Roman" w:hAnsi="Times New Roman" w:eastAsia="仿宋" w:cs="Times New Roman"/>
          <w:spacing w:val="-3"/>
          <w:sz w:val="24"/>
          <w:szCs w:val="24"/>
        </w:rPr>
        <w:t>相关指南</w:t>
      </w:r>
      <w:r>
        <w:rPr>
          <w:rFonts w:hint="default" w:ascii="Times New Roman" w:hAnsi="Times New Roman" w:eastAsia="仿宋" w:cs="Times New Roman"/>
          <w:spacing w:val="-3"/>
          <w:sz w:val="24"/>
          <w:szCs w:val="24"/>
          <w:lang w:eastAsia="zh-CN"/>
        </w:rPr>
        <w:t>。</w:t>
      </w:r>
      <w:r>
        <w:rPr>
          <w:rFonts w:hint="default" w:ascii="Times New Roman" w:hAnsi="Times New Roman" w:eastAsia="仿宋" w:cs="Times New Roman"/>
          <w:spacing w:val="-3"/>
          <w:sz w:val="24"/>
          <w:szCs w:val="24"/>
          <w:lang w:val="en-US" w:eastAsia="zh-CN"/>
        </w:rPr>
        <w:t>标准归纳</w:t>
      </w:r>
      <w:r>
        <w:rPr>
          <w:rFonts w:hint="default" w:ascii="Times New Roman" w:hAnsi="Times New Roman" w:eastAsia="仿宋" w:cs="Times New Roman"/>
          <w:spacing w:val="-3"/>
          <w:sz w:val="24"/>
          <w:szCs w:val="24"/>
        </w:rPr>
        <w:t>总结了</w:t>
      </w:r>
      <w:r>
        <w:rPr>
          <w:rFonts w:hint="default" w:ascii="Times New Roman" w:hAnsi="Times New Roman" w:eastAsia="仿宋" w:cs="Times New Roman"/>
          <w:spacing w:val="-3"/>
          <w:sz w:val="24"/>
          <w:szCs w:val="24"/>
          <w:lang w:val="en-US" w:eastAsia="zh-CN"/>
        </w:rPr>
        <w:t>本研究团队和</w:t>
      </w:r>
      <w:r>
        <w:rPr>
          <w:rFonts w:hint="default" w:ascii="Times New Roman" w:hAnsi="Times New Roman" w:eastAsia="仿宋" w:cs="Times New Roman"/>
          <w:spacing w:val="-3"/>
          <w:sz w:val="24"/>
          <w:szCs w:val="24"/>
        </w:rPr>
        <w:t>国内机构</w:t>
      </w:r>
      <w:r>
        <w:rPr>
          <w:rFonts w:hint="default" w:ascii="Times New Roman" w:hAnsi="Times New Roman" w:eastAsia="仿宋" w:cs="Times New Roman"/>
          <w:spacing w:val="-3"/>
          <w:sz w:val="24"/>
          <w:szCs w:val="24"/>
          <w:lang w:val="en-US" w:eastAsia="zh-CN"/>
        </w:rPr>
        <w:t>在</w:t>
      </w:r>
      <w:r>
        <w:rPr>
          <w:rFonts w:hint="default" w:ascii="Times New Roman" w:hAnsi="Times New Roman" w:eastAsia="仿宋" w:cs="Times New Roman"/>
          <w:spacing w:val="-3"/>
          <w:sz w:val="24"/>
          <w:szCs w:val="24"/>
        </w:rPr>
        <w:t>无菌</w:t>
      </w:r>
      <w:r>
        <w:rPr>
          <w:rFonts w:hint="default" w:ascii="Times New Roman" w:hAnsi="Times New Roman" w:eastAsia="仿宋" w:cs="Times New Roman"/>
          <w:spacing w:val="-3"/>
          <w:sz w:val="24"/>
          <w:szCs w:val="24"/>
          <w:lang w:val="en-US" w:eastAsia="zh-CN"/>
        </w:rPr>
        <w:t>小鼠</w:t>
      </w:r>
      <w:r>
        <w:rPr>
          <w:rFonts w:hint="default" w:ascii="Times New Roman" w:hAnsi="Times New Roman" w:eastAsia="仿宋" w:cs="Times New Roman"/>
          <w:spacing w:val="-3"/>
          <w:sz w:val="24"/>
          <w:szCs w:val="24"/>
        </w:rPr>
        <w:t>肠道微生</w:t>
      </w:r>
      <w:r>
        <w:rPr>
          <w:rFonts w:hint="default" w:ascii="Times New Roman" w:hAnsi="Times New Roman" w:eastAsia="仿宋" w:cs="Times New Roman"/>
          <w:spacing w:val="-4"/>
          <w:sz w:val="24"/>
          <w:szCs w:val="24"/>
        </w:rPr>
        <w:t>物移植操作</w:t>
      </w:r>
      <w:r>
        <w:rPr>
          <w:rFonts w:hint="default" w:ascii="Times New Roman" w:hAnsi="Times New Roman" w:eastAsia="仿宋" w:cs="Times New Roman"/>
          <w:spacing w:val="-4"/>
          <w:sz w:val="24"/>
          <w:szCs w:val="24"/>
          <w:lang w:val="en-US" w:eastAsia="zh-CN"/>
        </w:rPr>
        <w:t>方面的</w:t>
      </w:r>
      <w:r>
        <w:rPr>
          <w:rFonts w:hint="default" w:ascii="Times New Roman" w:hAnsi="Times New Roman" w:eastAsia="仿宋" w:cs="Times New Roman"/>
          <w:spacing w:val="-3"/>
          <w:sz w:val="24"/>
          <w:szCs w:val="24"/>
        </w:rPr>
        <w:t>实践</w:t>
      </w:r>
      <w:r>
        <w:rPr>
          <w:rFonts w:hint="default" w:ascii="Times New Roman" w:hAnsi="Times New Roman" w:eastAsia="仿宋" w:cs="Times New Roman"/>
          <w:spacing w:val="-3"/>
          <w:sz w:val="24"/>
          <w:szCs w:val="24"/>
          <w:lang w:val="en-US" w:eastAsia="zh-CN"/>
        </w:rPr>
        <w:t>经验</w:t>
      </w:r>
      <w:r>
        <w:rPr>
          <w:rFonts w:hint="default" w:ascii="Times New Roman" w:hAnsi="Times New Roman" w:eastAsia="仿宋" w:cs="Times New Roman"/>
          <w:spacing w:val="-3"/>
          <w:sz w:val="24"/>
          <w:szCs w:val="24"/>
        </w:rPr>
        <w:t>，</w:t>
      </w:r>
      <w:r>
        <w:rPr>
          <w:rFonts w:hint="default" w:ascii="Times New Roman" w:hAnsi="Times New Roman" w:eastAsia="仿宋" w:cs="Times New Roman"/>
          <w:spacing w:val="-3"/>
          <w:sz w:val="24"/>
          <w:szCs w:val="24"/>
          <w:lang w:val="en-US" w:eastAsia="zh-CN"/>
        </w:rPr>
        <w:t>并参考相关文献制定</w:t>
      </w:r>
      <w:r>
        <w:rPr>
          <w:rFonts w:hint="default" w:ascii="Times New Roman" w:hAnsi="Times New Roman" w:eastAsia="仿宋" w:cs="Times New Roman"/>
          <w:spacing w:val="-3"/>
          <w:sz w:val="24"/>
          <w:szCs w:val="24"/>
        </w:rPr>
        <w:t>。</w:t>
      </w:r>
      <w:r>
        <w:rPr>
          <w:rFonts w:hint="default" w:ascii="Times New Roman" w:hAnsi="Times New Roman" w:eastAsia="仿宋" w:cs="Times New Roman"/>
          <w:spacing w:val="-3"/>
          <w:sz w:val="24"/>
          <w:szCs w:val="24"/>
          <w:lang w:val="en-US" w:eastAsia="zh-CN"/>
        </w:rPr>
        <w:t>主要内容包括：</w:t>
      </w:r>
    </w:p>
    <w:p w14:paraId="0E960AC9">
      <w:pPr>
        <w:keepNext w:val="0"/>
        <w:keepLines w:val="0"/>
        <w:pageBreakBefore w:val="0"/>
        <w:widowControl/>
        <w:numPr>
          <w:ilvl w:val="0"/>
          <w:numId w:val="4"/>
        </w:numPr>
        <w:kinsoku w:val="0"/>
        <w:wordWrap/>
        <w:overflowPunct/>
        <w:topLinePunct w:val="0"/>
        <w:autoSpaceDE w:val="0"/>
        <w:autoSpaceDN w:val="0"/>
        <w:bidi w:val="0"/>
        <w:adjustRightInd w:val="0"/>
        <w:snapToGrid w:val="0"/>
        <w:spacing w:before="196" w:line="360" w:lineRule="auto"/>
        <w:ind w:right="11"/>
        <w:jc w:val="both"/>
        <w:textAlignment w:val="baseline"/>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3"/>
          <w:sz w:val="24"/>
          <w:szCs w:val="24"/>
          <w:lang w:val="en-US" w:eastAsia="zh-CN"/>
        </w:rPr>
        <w:t>对数据采集的数量、质量、数据存储格式、产生数据的测量仪器提出整体要求；</w:t>
      </w:r>
    </w:p>
    <w:p w14:paraId="4DA2A488">
      <w:pPr>
        <w:keepNext w:val="0"/>
        <w:keepLines w:val="0"/>
        <w:pageBreakBefore w:val="0"/>
        <w:widowControl/>
        <w:numPr>
          <w:ilvl w:val="0"/>
          <w:numId w:val="4"/>
        </w:numPr>
        <w:kinsoku w:val="0"/>
        <w:wordWrap/>
        <w:overflowPunct/>
        <w:topLinePunct w:val="0"/>
        <w:autoSpaceDE w:val="0"/>
        <w:autoSpaceDN w:val="0"/>
        <w:bidi w:val="0"/>
        <w:adjustRightInd w:val="0"/>
        <w:snapToGrid w:val="0"/>
        <w:spacing w:before="196" w:line="360" w:lineRule="auto"/>
        <w:ind w:right="11"/>
        <w:jc w:val="both"/>
        <w:textAlignment w:val="baseline"/>
        <w:rPr>
          <w:rFonts w:hint="default" w:ascii="Times New Roman" w:hAnsi="Times New Roman" w:eastAsia="仿宋" w:cs="Times New Roman"/>
          <w:spacing w:val="-3"/>
          <w:sz w:val="24"/>
          <w:szCs w:val="24"/>
          <w:lang w:val="en-US" w:eastAsia="zh-CN"/>
        </w:rPr>
      </w:pPr>
      <w:r>
        <w:rPr>
          <w:rFonts w:hint="default" w:ascii="Times New Roman" w:hAnsi="Times New Roman" w:eastAsia="仿宋" w:cs="Times New Roman"/>
          <w:spacing w:val="-3"/>
          <w:sz w:val="24"/>
          <w:szCs w:val="24"/>
          <w:lang w:val="en-US" w:eastAsia="zh-CN"/>
        </w:rPr>
        <w:t>对模型名称、</w:t>
      </w:r>
      <w:r>
        <w:rPr>
          <w:rFonts w:hint="default" w:ascii="Times New Roman" w:hAnsi="Times New Roman" w:eastAsia="仿宋" w:cs="Times New Roman"/>
          <w:b w:val="0"/>
          <w:bCs w:val="0"/>
          <w:color w:val="000000"/>
          <w:sz w:val="24"/>
          <w:szCs w:val="24"/>
          <w:lang w:val="en-US" w:eastAsia="zh-CN" w:bidi="en-US"/>
        </w:rPr>
        <w:t>平台资源号和资源归类编码、基本信息数据存储格式等数据</w:t>
      </w:r>
      <w:r>
        <w:rPr>
          <w:rFonts w:hint="default" w:ascii="Times New Roman" w:hAnsi="Times New Roman" w:eastAsia="仿宋" w:cs="Times New Roman"/>
          <w:spacing w:val="-3"/>
          <w:sz w:val="24"/>
          <w:szCs w:val="24"/>
          <w:lang w:val="en-US" w:eastAsia="zh-CN"/>
        </w:rPr>
        <w:t>基本信息作出规定；</w:t>
      </w:r>
    </w:p>
    <w:p w14:paraId="19A91157">
      <w:pPr>
        <w:keepNext w:val="0"/>
        <w:keepLines w:val="0"/>
        <w:pageBreakBefore w:val="0"/>
        <w:widowControl/>
        <w:numPr>
          <w:ilvl w:val="0"/>
          <w:numId w:val="4"/>
        </w:numPr>
        <w:kinsoku w:val="0"/>
        <w:wordWrap/>
        <w:overflowPunct/>
        <w:topLinePunct w:val="0"/>
        <w:autoSpaceDE w:val="0"/>
        <w:autoSpaceDN w:val="0"/>
        <w:bidi w:val="0"/>
        <w:adjustRightInd w:val="0"/>
        <w:snapToGrid w:val="0"/>
        <w:spacing w:before="196" w:line="360" w:lineRule="auto"/>
        <w:ind w:right="11"/>
        <w:jc w:val="both"/>
        <w:textAlignment w:val="baseline"/>
        <w:rPr>
          <w:rFonts w:hint="default" w:ascii="Times New Roman" w:hAnsi="Times New Roman" w:eastAsia="仿宋" w:cs="Times New Roman"/>
          <w:b w:val="0"/>
          <w:bCs w:val="0"/>
          <w:spacing w:val="-3"/>
          <w:sz w:val="24"/>
          <w:szCs w:val="24"/>
          <w:lang w:val="en-US" w:eastAsia="zh-CN"/>
        </w:rPr>
      </w:pPr>
      <w:r>
        <w:rPr>
          <w:rFonts w:hint="default" w:ascii="Times New Roman" w:hAnsi="Times New Roman" w:eastAsia="仿宋" w:cs="Times New Roman"/>
          <w:spacing w:val="-3"/>
          <w:sz w:val="24"/>
          <w:szCs w:val="24"/>
          <w:lang w:val="en-US" w:eastAsia="zh-CN"/>
        </w:rPr>
        <w:t>对人源粪便样本、动物粪便的基本信息做出规定，包括背景资料、丰富数据、伦理、生物安全、数据储存格式等；</w:t>
      </w:r>
    </w:p>
    <w:p w14:paraId="0CB8CDA5">
      <w:pPr>
        <w:keepNext w:val="0"/>
        <w:keepLines w:val="0"/>
        <w:pageBreakBefore w:val="0"/>
        <w:widowControl/>
        <w:numPr>
          <w:ilvl w:val="0"/>
          <w:numId w:val="4"/>
        </w:numPr>
        <w:kinsoku w:val="0"/>
        <w:wordWrap/>
        <w:overflowPunct/>
        <w:topLinePunct w:val="0"/>
        <w:autoSpaceDE w:val="0"/>
        <w:autoSpaceDN w:val="0"/>
        <w:bidi w:val="0"/>
        <w:adjustRightInd w:val="0"/>
        <w:snapToGrid w:val="0"/>
        <w:spacing w:before="196" w:line="360" w:lineRule="auto"/>
        <w:ind w:left="0" w:leftChars="0" w:right="11" w:rightChars="0" w:firstLine="0" w:firstLineChars="0"/>
        <w:jc w:val="both"/>
        <w:textAlignment w:val="baseline"/>
        <w:rPr>
          <w:rFonts w:hint="default" w:ascii="Times New Roman" w:hAnsi="Times New Roman" w:eastAsia="仿宋" w:cs="Times New Roman"/>
          <w:b w:val="0"/>
          <w:bCs w:val="0"/>
          <w:color w:val="000000"/>
          <w:sz w:val="24"/>
          <w:szCs w:val="24"/>
          <w:lang w:val="en-US" w:eastAsia="zh-CN" w:bidi="en-US"/>
        </w:rPr>
      </w:pPr>
      <w:r>
        <w:rPr>
          <w:rFonts w:hint="default" w:ascii="Times New Roman" w:hAnsi="Times New Roman" w:eastAsia="仿宋" w:cs="Times New Roman"/>
          <w:b w:val="0"/>
          <w:bCs w:val="0"/>
          <w:color w:val="000000"/>
          <w:sz w:val="24"/>
          <w:szCs w:val="24"/>
          <w:lang w:val="en-US" w:eastAsia="zh-CN" w:bidi="en-US"/>
        </w:rPr>
        <w:t>对于模型制作过程中产生的数据作出规定：在制备无菌小鼠肠道微生物移植模型前需制定详细的实验方案，内容涵盖但不限于供体肠道微生物的准备、无菌受体小鼠的准备与分组、肠道微生物的接种、小鼠饲养、供体样本接种后无菌小鼠肠道微生物的收集和处理、造模结束后小鼠的处理等。</w:t>
      </w:r>
    </w:p>
    <w:p w14:paraId="1CE2B557">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6" w:line="360" w:lineRule="auto"/>
        <w:ind w:leftChars="0" w:right="11" w:rightChars="0"/>
        <w:jc w:val="both"/>
        <w:textAlignment w:val="baseline"/>
        <w:rPr>
          <w:rFonts w:hint="default" w:ascii="Times New Roman" w:hAnsi="Times New Roman" w:eastAsia="仿宋" w:cs="Times New Roman"/>
          <w:b w:val="0"/>
          <w:bCs w:val="0"/>
          <w:color w:val="000000"/>
          <w:sz w:val="24"/>
          <w:szCs w:val="24"/>
          <w:lang w:val="en-US" w:eastAsia="zh-CN" w:bidi="en-US"/>
        </w:rPr>
      </w:pPr>
      <w:r>
        <w:rPr>
          <w:rFonts w:hint="default" w:ascii="Times New Roman" w:hAnsi="Times New Roman" w:eastAsia="仿宋" w:cs="Times New Roman"/>
          <w:b w:val="0"/>
          <w:bCs w:val="0"/>
          <w:color w:val="000000"/>
          <w:sz w:val="24"/>
          <w:szCs w:val="24"/>
          <w:lang w:val="en-US" w:eastAsia="zh-CN" w:bidi="en-US"/>
        </w:rPr>
        <w:t>5、对模型评价数据作出详细规定，其中基础涵盖但不限于品种、品系、年龄、性别、生理、生化、微生物组学数据等。并对每项指标的采集、测量、储存、转运等关键信息进行描述。规定模型特征性生理数据按照相关标准或参考文献等确定模型特征性指标，由专业技术人员按照标准操作程序进行，相关仪器定期校准，数据使用国际标准计量单位表示。</w:t>
      </w:r>
    </w:p>
    <w:p w14:paraId="2582208C">
      <w:pPr>
        <w:pStyle w:val="11"/>
        <w:keepNext w:val="0"/>
        <w:keepLines w:val="0"/>
        <w:pageBreakBefore w:val="0"/>
        <w:widowControl/>
        <w:kinsoku/>
        <w:wordWrap/>
        <w:overflowPunct/>
        <w:topLinePunct w:val="0"/>
        <w:autoSpaceDE/>
        <w:autoSpaceDN/>
        <w:bidi w:val="0"/>
        <w:adjustRightInd w:val="0"/>
        <w:snapToGrid w:val="0"/>
        <w:spacing w:after="0" w:line="360" w:lineRule="auto"/>
        <w:textAlignment w:val="auto"/>
        <w:rPr>
          <w:rFonts w:hint="default" w:ascii="Times New Roman" w:hAnsi="Times New Roman" w:eastAsia="仿宋" w:cs="Times New Roman"/>
          <w:b w:val="0"/>
          <w:bCs w:val="0"/>
          <w:color w:val="000000"/>
          <w:sz w:val="24"/>
          <w:szCs w:val="24"/>
          <w:lang w:val="en-US" w:eastAsia="zh-CN" w:bidi="en-US"/>
        </w:rPr>
      </w:pPr>
      <w:r>
        <w:rPr>
          <w:rFonts w:hint="default" w:ascii="Times New Roman" w:hAnsi="Times New Roman" w:eastAsia="仿宋" w:cs="Times New Roman"/>
          <w:b w:val="0"/>
          <w:bCs w:val="0"/>
          <w:color w:val="000000"/>
          <w:sz w:val="24"/>
          <w:szCs w:val="24"/>
          <w:lang w:val="en-US" w:eastAsia="zh-CN" w:bidi="en-US"/>
        </w:rPr>
        <w:t>6、组学数据在无菌小鼠肠道微生物移植模型评价中具有重要地位，本标准对产生组学数据的类型、样本采集、处理、转运、储存作出详细规定。</w:t>
      </w:r>
    </w:p>
    <w:p w14:paraId="443DB688">
      <w:pPr>
        <w:keepNext w:val="0"/>
        <w:keepLines w:val="0"/>
        <w:pageBreakBefore w:val="0"/>
        <w:wordWrap/>
        <w:overflowPunct/>
        <w:topLinePunct w:val="0"/>
        <w:bidi w:val="0"/>
        <w:spacing w:before="195" w:line="360" w:lineRule="auto"/>
        <w:ind w:right="16"/>
        <w:rPr>
          <w:rFonts w:hint="default" w:ascii="Times New Roman" w:hAnsi="Times New Roman" w:eastAsia="仿宋" w:cs="Times New Roman"/>
          <w:b/>
          <w:bCs/>
          <w:sz w:val="24"/>
          <w:szCs w:val="24"/>
        </w:rPr>
      </w:pPr>
      <w:r>
        <w:rPr>
          <w:rFonts w:hint="default" w:ascii="Times New Roman" w:hAnsi="Times New Roman" w:eastAsia="仿宋" w:cs="Times New Roman"/>
          <w:b/>
          <w:bCs/>
          <w:sz w:val="24"/>
          <w:szCs w:val="24"/>
        </w:rPr>
        <w:t>（六） 主要试验（或验证）的分析、综述报告，技术经济论证，预期的经</w:t>
      </w:r>
      <w:r>
        <w:rPr>
          <w:rFonts w:hint="default" w:ascii="Times New Roman" w:hAnsi="Times New Roman" w:eastAsia="仿宋" w:cs="Times New Roman"/>
          <w:b/>
          <w:bCs/>
          <w:spacing w:val="-5"/>
          <w:sz w:val="24"/>
          <w:szCs w:val="24"/>
        </w:rPr>
        <w:t>济效果</w:t>
      </w:r>
    </w:p>
    <w:p w14:paraId="61A729F5">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default" w:ascii="Times New Roman" w:hAnsi="Times New Roman" w:eastAsia="仿宋" w:cs="Times New Roman"/>
          <w:b/>
          <w:bCs/>
          <w:spacing w:val="4"/>
          <w:sz w:val="24"/>
          <w:szCs w:val="24"/>
          <w:lang w:val="en-US" w:eastAsia="zh-CN"/>
        </w:rPr>
      </w:pPr>
      <w:r>
        <w:rPr>
          <w:rFonts w:hint="default" w:ascii="Times New Roman" w:hAnsi="Times New Roman" w:eastAsia="仿宋" w:cs="Times New Roman"/>
          <w:b/>
          <w:bCs/>
          <w:spacing w:val="4"/>
          <w:sz w:val="24"/>
          <w:szCs w:val="24"/>
          <w:lang w:val="en-US" w:eastAsia="zh-CN"/>
        </w:rPr>
        <w:t>1、技术经济论证</w:t>
      </w:r>
    </w:p>
    <w:p w14:paraId="5A236AD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sz w:val="24"/>
          <w:szCs w:val="24"/>
        </w:rPr>
      </w:pPr>
      <w:r>
        <w:rPr>
          <w:rFonts w:hint="default" w:ascii="Times New Roman" w:hAnsi="Times New Roman" w:eastAsia="仿宋" w:cs="Times New Roman"/>
          <w:spacing w:val="4"/>
          <w:sz w:val="24"/>
          <w:szCs w:val="24"/>
          <w:lang w:val="en-US" w:eastAsia="zh-CN"/>
        </w:rPr>
        <w:t>（1）技术可行性：标准中采用的数据采集方法、标本保存条件等在行业内使用多年，</w:t>
      </w:r>
      <w:r>
        <w:rPr>
          <w:rFonts w:hint="default" w:ascii="Times New Roman" w:hAnsi="Times New Roman" w:eastAsia="仿宋" w:cs="Times New Roman"/>
          <w:snapToGrid w:val="0"/>
          <w:color w:val="000000"/>
          <w:kern w:val="0"/>
          <w:sz w:val="24"/>
          <w:szCs w:val="24"/>
          <w:lang w:val="en-US" w:eastAsia="zh-CN" w:bidi="ar"/>
        </w:rPr>
        <w:t>操作简便且具有可复制性。</w:t>
      </w:r>
    </w:p>
    <w:p w14:paraId="35F357F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sz w:val="24"/>
          <w:szCs w:val="24"/>
        </w:rPr>
      </w:pPr>
      <w:r>
        <w:rPr>
          <w:rFonts w:hint="default" w:ascii="Times New Roman" w:hAnsi="Times New Roman" w:eastAsia="仿宋" w:cs="Times New Roman"/>
          <w:snapToGrid w:val="0"/>
          <w:color w:val="000000"/>
          <w:kern w:val="0"/>
          <w:sz w:val="24"/>
          <w:szCs w:val="24"/>
          <w:lang w:val="en-US" w:eastAsia="zh-CN" w:bidi="ar"/>
        </w:rPr>
        <w:t>（2）经济可行性：大多数研究机构中已经配备标准中涉及的设施（隔离器等）与设备（如低温冰箱、离心机等），降低了标准实施成本。</w:t>
      </w:r>
    </w:p>
    <w:p w14:paraId="3C10504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rPr>
      </w:pPr>
      <w:r>
        <w:rPr>
          <w:rFonts w:hint="default" w:ascii="Times New Roman" w:hAnsi="Times New Roman" w:eastAsia="宋体" w:cs="Times New Roman"/>
          <w:sz w:val="24"/>
          <w:szCs w:val="24"/>
          <w:lang w:val="en-US" w:eastAsia="zh-CN"/>
        </w:rPr>
        <w:t xml:space="preserve"> </w:t>
      </w:r>
      <w:r>
        <w:rPr>
          <w:rFonts w:hint="default" w:ascii="Times New Roman" w:hAnsi="Times New Roman" w:eastAsia="仿宋" w:cs="Times New Roman"/>
          <w:sz w:val="24"/>
          <w:szCs w:val="24"/>
          <w:lang w:val="en-US" w:eastAsia="zh-CN"/>
        </w:rPr>
        <w:t xml:space="preserve">   规范的</w:t>
      </w:r>
      <w:r>
        <w:rPr>
          <w:rFonts w:hint="default" w:ascii="Times New Roman" w:hAnsi="Times New Roman" w:eastAsia="仿宋" w:cs="Times New Roman"/>
          <w:spacing w:val="-3"/>
          <w:sz w:val="24"/>
          <w:szCs w:val="24"/>
        </w:rPr>
        <w:t>无菌</w:t>
      </w:r>
      <w:r>
        <w:rPr>
          <w:rFonts w:hint="default" w:ascii="Times New Roman" w:hAnsi="Times New Roman" w:eastAsia="仿宋" w:cs="Times New Roman"/>
          <w:spacing w:val="-3"/>
          <w:sz w:val="24"/>
          <w:szCs w:val="24"/>
          <w:lang w:val="en-US" w:eastAsia="zh-CN"/>
        </w:rPr>
        <w:t>小鼠</w:t>
      </w:r>
      <w:r>
        <w:rPr>
          <w:rFonts w:hint="default" w:ascii="Times New Roman" w:hAnsi="Times New Roman" w:eastAsia="仿宋" w:cs="Times New Roman"/>
          <w:spacing w:val="-3"/>
          <w:sz w:val="24"/>
          <w:szCs w:val="24"/>
        </w:rPr>
        <w:t>肠道微生</w:t>
      </w:r>
      <w:r>
        <w:rPr>
          <w:rFonts w:hint="default" w:ascii="Times New Roman" w:hAnsi="Times New Roman" w:eastAsia="仿宋" w:cs="Times New Roman"/>
          <w:spacing w:val="-4"/>
          <w:sz w:val="24"/>
          <w:szCs w:val="24"/>
        </w:rPr>
        <w:t>物移植</w:t>
      </w:r>
      <w:r>
        <w:rPr>
          <w:rFonts w:hint="default" w:ascii="Times New Roman" w:hAnsi="Times New Roman" w:eastAsia="仿宋" w:cs="Times New Roman"/>
          <w:spacing w:val="-4"/>
          <w:sz w:val="24"/>
          <w:szCs w:val="24"/>
          <w:lang w:val="en-US" w:eastAsia="zh-CN"/>
        </w:rPr>
        <w:t>数据采集</w:t>
      </w:r>
      <w:r>
        <w:rPr>
          <w:rFonts w:hint="default" w:ascii="Times New Roman" w:hAnsi="Times New Roman" w:eastAsia="仿宋" w:cs="Times New Roman"/>
          <w:snapToGrid w:val="0"/>
          <w:color w:val="000000"/>
          <w:kern w:val="0"/>
          <w:sz w:val="24"/>
          <w:szCs w:val="24"/>
          <w:lang w:val="en-US" w:eastAsia="zh-CN" w:bidi="ar"/>
        </w:rPr>
        <w:t>将提升研究结果的可信性、可重复性和数据对比性，促进研究成果的转化效率。</w:t>
      </w:r>
    </w:p>
    <w:p w14:paraId="20F30711">
      <w:pPr>
        <w:keepNext w:val="0"/>
        <w:keepLines w:val="0"/>
        <w:pageBreakBefore w:val="0"/>
        <w:widowControl/>
        <w:suppressLineNumbers w:val="0"/>
        <w:wordWrap/>
        <w:overflowPunct/>
        <w:topLinePunct w:val="0"/>
        <w:bidi w:val="0"/>
        <w:spacing w:line="360" w:lineRule="auto"/>
        <w:jc w:val="left"/>
        <w:rPr>
          <w:rFonts w:hint="default" w:ascii="Times New Roman" w:hAnsi="Times New Roman" w:eastAsia="宋体" w:cs="Times New Roman"/>
          <w:sz w:val="24"/>
          <w:szCs w:val="24"/>
          <w:lang w:val="en-US" w:eastAsia="zh-CN"/>
        </w:rPr>
      </w:pPr>
      <w:r>
        <w:rPr>
          <w:rFonts w:hint="default" w:ascii="Times New Roman" w:hAnsi="Times New Roman" w:eastAsia="仿宋" w:cs="Times New Roman"/>
          <w:b/>
          <w:bCs/>
          <w:snapToGrid w:val="0"/>
          <w:color w:val="000000"/>
          <w:kern w:val="0"/>
          <w:sz w:val="24"/>
          <w:szCs w:val="24"/>
          <w:lang w:val="en-US" w:eastAsia="zh-CN" w:bidi="ar"/>
        </w:rPr>
        <w:t>2、预期经济效果</w:t>
      </w:r>
      <w:r>
        <w:rPr>
          <w:rFonts w:hint="default" w:ascii="Times New Roman" w:hAnsi="Times New Roman" w:eastAsia="宋体" w:cs="Times New Roman"/>
          <w:sz w:val="24"/>
          <w:szCs w:val="24"/>
          <w:lang w:val="en-US" w:eastAsia="zh-CN"/>
        </w:rPr>
        <w:t xml:space="preserve">    </w:t>
      </w:r>
    </w:p>
    <w:p w14:paraId="7992628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sz w:val="24"/>
          <w:szCs w:val="24"/>
          <w:lang w:val="en-US"/>
        </w:rPr>
      </w:pPr>
      <w:r>
        <w:rPr>
          <w:rFonts w:hint="default" w:ascii="Times New Roman" w:hAnsi="Times New Roman" w:eastAsia="仿宋" w:cs="Times New Roman"/>
          <w:snapToGrid w:val="0"/>
          <w:color w:val="000000"/>
          <w:kern w:val="0"/>
          <w:sz w:val="24"/>
          <w:szCs w:val="24"/>
          <w:lang w:val="en-US" w:eastAsia="zh-CN" w:bidi="ar"/>
        </w:rPr>
        <w:t>（1）降低研究成本：通过规范化的</w:t>
      </w:r>
      <w:r>
        <w:rPr>
          <w:rFonts w:hint="default" w:ascii="Times New Roman" w:hAnsi="Times New Roman" w:eastAsia="仿宋" w:cs="Times New Roman"/>
          <w:spacing w:val="-3"/>
          <w:sz w:val="24"/>
          <w:szCs w:val="24"/>
        </w:rPr>
        <w:t>无菌</w:t>
      </w:r>
      <w:r>
        <w:rPr>
          <w:rFonts w:hint="default" w:ascii="Times New Roman" w:hAnsi="Times New Roman" w:eastAsia="仿宋" w:cs="Times New Roman"/>
          <w:spacing w:val="-3"/>
          <w:sz w:val="24"/>
          <w:szCs w:val="24"/>
          <w:lang w:val="en-US" w:eastAsia="zh-CN"/>
        </w:rPr>
        <w:t>小鼠</w:t>
      </w:r>
      <w:r>
        <w:rPr>
          <w:rFonts w:hint="default" w:ascii="Times New Roman" w:hAnsi="Times New Roman" w:eastAsia="仿宋" w:cs="Times New Roman"/>
          <w:spacing w:val="-3"/>
          <w:sz w:val="24"/>
          <w:szCs w:val="24"/>
        </w:rPr>
        <w:t>肠道微生</w:t>
      </w:r>
      <w:r>
        <w:rPr>
          <w:rFonts w:hint="default" w:ascii="Times New Roman" w:hAnsi="Times New Roman" w:eastAsia="仿宋" w:cs="Times New Roman"/>
          <w:spacing w:val="-4"/>
          <w:sz w:val="24"/>
          <w:szCs w:val="24"/>
        </w:rPr>
        <w:t>物移植</w:t>
      </w:r>
      <w:r>
        <w:rPr>
          <w:rFonts w:hint="default" w:ascii="Times New Roman" w:hAnsi="Times New Roman" w:eastAsia="仿宋" w:cs="Times New Roman"/>
          <w:spacing w:val="-4"/>
          <w:sz w:val="24"/>
          <w:szCs w:val="24"/>
          <w:lang w:val="en-US" w:eastAsia="zh-CN"/>
        </w:rPr>
        <w:t>数据采集，</w:t>
      </w:r>
      <w:r>
        <w:rPr>
          <w:rFonts w:hint="default" w:ascii="Times New Roman" w:hAnsi="Times New Roman" w:eastAsia="仿宋" w:cs="Times New Roman"/>
          <w:snapToGrid w:val="0"/>
          <w:color w:val="000000"/>
          <w:kern w:val="0"/>
          <w:sz w:val="24"/>
          <w:szCs w:val="24"/>
          <w:lang w:val="en-US" w:eastAsia="zh-CN" w:bidi="ar"/>
        </w:rPr>
        <w:t>各研究机构可减少在样本采集、转运、储存等环节人力和物力的投入，提高工作效率，降低科研成本。</w:t>
      </w:r>
    </w:p>
    <w:p w14:paraId="41B75ACE">
      <w:pPr>
        <w:keepNext w:val="0"/>
        <w:keepLines w:val="0"/>
        <w:pageBreakBefore w:val="0"/>
        <w:widowControl w:val="0"/>
        <w:kinsoku/>
        <w:wordWrap/>
        <w:overflowPunct/>
        <w:topLinePunct w:val="0"/>
        <w:autoSpaceDE/>
        <w:autoSpaceDN/>
        <w:bidi w:val="0"/>
        <w:adjustRightInd/>
        <w:snapToGrid/>
        <w:spacing w:line="360" w:lineRule="auto"/>
        <w:ind w:right="0" w:rightChars="0"/>
        <w:jc w:val="left"/>
        <w:textAlignment w:val="auto"/>
        <w:outlineLvl w:val="9"/>
        <w:rPr>
          <w:rFonts w:hint="default" w:ascii="Times New Roman" w:hAnsi="Times New Roman" w:eastAsia="仿宋" w:cs="Times New Roman"/>
          <w:spacing w:val="4"/>
          <w:sz w:val="24"/>
          <w:szCs w:val="24"/>
          <w:lang w:val="en-US" w:eastAsia="zh-CN"/>
        </w:rPr>
      </w:pPr>
      <w:r>
        <w:rPr>
          <w:rFonts w:hint="default" w:ascii="Times New Roman" w:hAnsi="Times New Roman" w:eastAsia="仿宋" w:cs="Times New Roman"/>
          <w:spacing w:val="4"/>
          <w:sz w:val="24"/>
          <w:szCs w:val="24"/>
          <w:lang w:val="en-US" w:eastAsia="zh-CN"/>
        </w:rPr>
        <w:t>（2）促进科技成果转化：模型制备分析标准化将推动人体肠道微生物组研究的发展，促进以肠道菌群为靶点的微生态制剂评价，与研究所、医院、企业有效衔接，推动产品的临床转化。</w:t>
      </w:r>
    </w:p>
    <w:p w14:paraId="348FA5F4">
      <w:pPr>
        <w:keepNext w:val="0"/>
        <w:keepLines w:val="0"/>
        <w:pageBreakBefore w:val="0"/>
        <w:widowControl w:val="0"/>
        <w:kinsoku/>
        <w:wordWrap/>
        <w:overflowPunct/>
        <w:topLinePunct w:val="0"/>
        <w:autoSpaceDE/>
        <w:autoSpaceDN/>
        <w:bidi w:val="0"/>
        <w:adjustRightInd/>
        <w:snapToGrid/>
        <w:spacing w:line="360" w:lineRule="auto"/>
        <w:ind w:right="0" w:rightChars="0" w:firstLine="468" w:firstLineChars="200"/>
        <w:jc w:val="left"/>
        <w:textAlignment w:val="auto"/>
        <w:outlineLvl w:val="9"/>
        <w:rPr>
          <w:rFonts w:hint="eastAsia" w:ascii="仿宋" w:hAnsi="仿宋" w:eastAsia="仿宋" w:cs="仿宋"/>
          <w:spacing w:val="-3"/>
          <w:sz w:val="24"/>
          <w:szCs w:val="24"/>
          <w:lang w:val="en-US" w:eastAsia="zh-CN"/>
        </w:rPr>
      </w:pPr>
      <w:r>
        <w:rPr>
          <w:rFonts w:hint="eastAsia" w:ascii="仿宋" w:hAnsi="仿宋" w:eastAsia="仿宋" w:cs="仿宋"/>
          <w:spacing w:val="-3"/>
          <w:sz w:val="24"/>
          <w:szCs w:val="24"/>
          <w:lang w:val="en-US" w:eastAsia="zh-CN"/>
        </w:rPr>
        <w:t>参考文献：</w:t>
      </w:r>
    </w:p>
    <w:p w14:paraId="77DC30AB">
      <w:pPr>
        <w:keepNext w:val="0"/>
        <w:keepLines w:val="0"/>
        <w:pageBreakBefore w:val="0"/>
        <w:widowControl w:val="0"/>
        <w:kinsoku/>
        <w:wordWrap/>
        <w:overflowPunct/>
        <w:topLinePunct w:val="0"/>
        <w:autoSpaceDE/>
        <w:autoSpaceDN/>
        <w:bidi w:val="0"/>
        <w:adjustRightInd/>
        <w:snapToGrid/>
        <w:spacing w:line="360" w:lineRule="auto"/>
        <w:ind w:left="240" w:right="0" w:rightChars="0" w:hanging="240" w:hangingChars="10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lang w:val="en-US" w:eastAsia="zh-CN"/>
        </w:rPr>
        <w:t>1.</w:t>
      </w:r>
      <w:r>
        <w:rPr>
          <w:rFonts w:hint="default" w:ascii="Times New Roman" w:hAnsi="Times New Roman" w:eastAsia="仿宋" w:cs="Times New Roman"/>
          <w:bCs/>
          <w:sz w:val="24"/>
          <w:szCs w:val="24"/>
        </w:rPr>
        <w:t>Hirayama K, Itoh K. Human flora-associated (HFA) animals as a model for studying the role of intestinal flora in human health and disease. Curr Issues Intest Microbiol 2005;6:69-75.</w:t>
      </w:r>
    </w:p>
    <w:p w14:paraId="4A3E1A74">
      <w:pPr>
        <w:keepNext w:val="0"/>
        <w:keepLines w:val="0"/>
        <w:pageBreakBefore w:val="0"/>
        <w:widowControl w:val="0"/>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2.Kibe R, Sakamoto M, Yokota H, Ishikawa H, Aiba Y, Koga Y, Benno Y. Movement </w:t>
      </w:r>
    </w:p>
    <w:p w14:paraId="743332C1">
      <w:pPr>
        <w:keepNext w:val="0"/>
        <w:keepLines w:val="0"/>
        <w:pageBreakBefore w:val="0"/>
        <w:widowControl w:val="0"/>
        <w:kinsoku/>
        <w:wordWrap/>
        <w:overflowPunct/>
        <w:topLinePunct w:val="0"/>
        <w:autoSpaceDE/>
        <w:autoSpaceDN/>
        <w:bidi w:val="0"/>
        <w:adjustRightInd/>
        <w:snapToGrid/>
        <w:spacing w:line="360" w:lineRule="auto"/>
        <w:ind w:left="729" w:leftChars="71" w:right="0" w:rightChars="0" w:hanging="580" w:hangingChars="242"/>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and fixation of intestinal microbiota after administration of human feces to germfree </w:t>
      </w:r>
    </w:p>
    <w:p w14:paraId="36EC366F">
      <w:pPr>
        <w:keepNext w:val="0"/>
        <w:keepLines w:val="0"/>
        <w:pageBreakBefore w:val="0"/>
        <w:widowControl w:val="0"/>
        <w:kinsoku/>
        <w:wordWrap/>
        <w:overflowPunct/>
        <w:topLinePunct w:val="0"/>
        <w:autoSpaceDE/>
        <w:autoSpaceDN/>
        <w:bidi w:val="0"/>
        <w:adjustRightInd/>
        <w:snapToGrid/>
        <w:spacing w:line="360" w:lineRule="auto"/>
        <w:ind w:left="729" w:leftChars="71" w:right="0" w:rightChars="0" w:hanging="580" w:hangingChars="242"/>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mice. Appl Environ Microbiol 2005;71:3171-8.</w:t>
      </w:r>
    </w:p>
    <w:p w14:paraId="1189BB95">
      <w:pPr>
        <w:keepNext w:val="0"/>
        <w:keepLines w:val="0"/>
        <w:pageBreakBefore w:val="0"/>
        <w:widowControl w:val="0"/>
        <w:numPr>
          <w:ilvl w:val="0"/>
          <w:numId w:val="5"/>
        </w:numPr>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Perrin-Guyomard A, Poul JM, Laurentie M, Sanders P, Fernandez AH, </w:t>
      </w:r>
    </w:p>
    <w:p w14:paraId="0A41732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right="0" w:rightChars="0" w:firstLine="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Bartholomew M. Impact of ciprofloxacin in the human-flora-associated (HFA) rat model: comparison with the HFA mouse model. Regul Toxicol Pharmacol 2006;45:66-78.</w:t>
      </w:r>
    </w:p>
    <w:p w14:paraId="33D93F57">
      <w:pPr>
        <w:keepNext w:val="0"/>
        <w:keepLines w:val="0"/>
        <w:pageBreakBefore w:val="0"/>
        <w:widowControl w:val="0"/>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4.Wang Z, Klipfell E, Bennett BJ, Koeth R, Levison BS, Dugar B, Feldstein AE, Britt </w:t>
      </w:r>
    </w:p>
    <w:p w14:paraId="7617AC56">
      <w:pPr>
        <w:keepNext w:val="0"/>
        <w:keepLines w:val="0"/>
        <w:pageBreakBefore w:val="0"/>
        <w:widowControl w:val="0"/>
        <w:kinsoku/>
        <w:wordWrap/>
        <w:overflowPunct/>
        <w:topLinePunct w:val="0"/>
        <w:autoSpaceDE/>
        <w:autoSpaceDN/>
        <w:bidi w:val="0"/>
        <w:adjustRightInd/>
        <w:snapToGrid/>
        <w:spacing w:line="360" w:lineRule="auto"/>
        <w:ind w:left="239" w:leftChars="114" w:right="0" w:rightChars="0" w:firstLine="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EB, Fu X, Chung YM, Wu Y, Schauer P, Smith JD, Allayee H, Tang WH, DiDonato JA, Lusis AJ, Hazen SL. Gut flora metabolism of phosphatidylcholine promotes cardiovascular disease. Nature;472:57-63.</w:t>
      </w:r>
    </w:p>
    <w:p w14:paraId="3DE6A2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lang w:val="en-US" w:eastAsia="zh-CN"/>
        </w:rPr>
        <w:t>5.</w:t>
      </w:r>
      <w:r>
        <w:rPr>
          <w:rFonts w:hint="default" w:ascii="Times New Roman" w:hAnsi="Times New Roman" w:eastAsia="仿宋" w:cs="Times New Roman"/>
          <w:bCs/>
          <w:sz w:val="24"/>
          <w:szCs w:val="24"/>
        </w:rPr>
        <w:t xml:space="preserve">Zhang X, Zeng B, Liu Z, Liao Z, Li W, Wei H, Fang X. Comparative diversity </w:t>
      </w:r>
    </w:p>
    <w:p w14:paraId="0BFE67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right="0" w:rightChars="0" w:firstLine="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analysis of gut microbiota in two different human flora-associated mouse strains. Curr Microbiol;69:365-73.</w:t>
      </w:r>
    </w:p>
    <w:p w14:paraId="1510ED01">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Hallett PJ, Deleidi M, Astradsson A, Smith GA, Cooper O, Osborn TM, Sundberg </w:t>
      </w:r>
    </w:p>
    <w:p w14:paraId="5546CCD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240" w:firstLineChars="100"/>
        <w:jc w:val="left"/>
        <w:textAlignment w:val="auto"/>
        <w:outlineLvl w:val="9"/>
        <w:rPr>
          <w:rFonts w:hint="default" w:ascii="Times New Roman" w:hAnsi="Times New Roman" w:eastAsia="仿宋" w:cs="Times New Roman"/>
          <w:bCs/>
          <w:sz w:val="24"/>
          <w:szCs w:val="24"/>
          <w:lang w:val="en-US" w:eastAsia="zh-CN"/>
        </w:rPr>
      </w:pPr>
      <w:r>
        <w:rPr>
          <w:rFonts w:hint="default" w:ascii="Times New Roman" w:hAnsi="Times New Roman" w:eastAsia="仿宋" w:cs="Times New Roman"/>
          <w:bCs/>
          <w:sz w:val="24"/>
          <w:szCs w:val="24"/>
        </w:rPr>
        <w:t xml:space="preserve">M, Moore MA, Perez-Torres E, Brownell AL, Schumacher JM, Spealman RD, </w:t>
      </w:r>
      <w:r>
        <w:rPr>
          <w:rFonts w:hint="default" w:ascii="Times New Roman" w:hAnsi="Times New Roman" w:eastAsia="仿宋" w:cs="Times New Roman"/>
          <w:bCs/>
          <w:sz w:val="24"/>
          <w:szCs w:val="24"/>
          <w:lang w:val="en-US" w:eastAsia="zh-CN"/>
        </w:rPr>
        <w:t xml:space="preserve">   </w:t>
      </w:r>
    </w:p>
    <w:p w14:paraId="6E73C83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right="0" w:rightChars="0" w:firstLine="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Isacson O. Successful function of autologous iPSC-derived dopamine neurons following transplantation in a non-human primate model of Parkinson's disease. Cell Stem Cell;16:269-74.</w:t>
      </w:r>
    </w:p>
    <w:p w14:paraId="63123AE9">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Spence JR, Mayhew CN, Rankin SA, Kuhar MF, Vallance JE, Tolle K, Hoskins </w:t>
      </w:r>
    </w:p>
    <w:p w14:paraId="1C3882B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239" w:leftChars="114" w:right="0" w:rightChars="0" w:firstLine="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EE, Kalinichenko VV, Wells SI, Zorn AM, Shroyer NF, Wells JM. Directed differentiation of human pluripotent stem cells into intestinal tissue in vitro. Nature 2011;470:105-109.</w:t>
      </w:r>
    </w:p>
    <w:p w14:paraId="3F2DCAEF">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720" w:leftChars="0" w:right="0" w:rightChars="0" w:hanging="720" w:firstLineChars="0"/>
        <w:jc w:val="left"/>
        <w:textAlignment w:val="auto"/>
        <w:outlineLvl w:val="9"/>
        <w:rPr>
          <w:rFonts w:hint="default" w:ascii="Times New Roman" w:hAnsi="Times New Roman" w:eastAsia="仿宋" w:cs="Times New Roman"/>
          <w:bCs/>
          <w:sz w:val="24"/>
          <w:szCs w:val="24"/>
        </w:rPr>
      </w:pPr>
      <w:r>
        <w:rPr>
          <w:rFonts w:hint="default" w:ascii="Times New Roman" w:hAnsi="Times New Roman" w:eastAsia="仿宋" w:cs="Times New Roman"/>
          <w:bCs/>
          <w:sz w:val="24"/>
          <w:szCs w:val="24"/>
        </w:rPr>
        <w:t xml:space="preserve">Yamanaka S. Patient-specific pluripotent stem cells become even more accessible. </w:t>
      </w:r>
    </w:p>
    <w:p w14:paraId="6365142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240" w:firstLineChars="100"/>
        <w:jc w:val="left"/>
        <w:textAlignment w:val="auto"/>
        <w:outlineLvl w:val="9"/>
        <w:rPr>
          <w:rFonts w:hint="default" w:ascii="Times New Roman" w:hAnsi="Times New Roman" w:eastAsia="仿宋" w:cs="Times New Roman"/>
          <w:sz w:val="22"/>
          <w:szCs w:val="22"/>
        </w:rPr>
      </w:pPr>
      <w:r>
        <w:rPr>
          <w:rFonts w:hint="default" w:ascii="Times New Roman" w:hAnsi="Times New Roman" w:eastAsia="仿宋" w:cs="Times New Roman"/>
          <w:bCs/>
          <w:sz w:val="24"/>
          <w:szCs w:val="24"/>
        </w:rPr>
        <w:t>Cell Stem Cell;7:1-2.</w:t>
      </w:r>
    </w:p>
    <w:p w14:paraId="61B994E5">
      <w:pPr>
        <w:keepNext w:val="0"/>
        <w:keepLines w:val="0"/>
        <w:pageBreakBefore w:val="0"/>
        <w:wordWrap/>
        <w:overflowPunct/>
        <w:topLinePunct w:val="0"/>
        <w:bidi w:val="0"/>
        <w:spacing w:before="200" w:line="360" w:lineRule="auto"/>
        <w:ind w:right="16"/>
        <w:rPr>
          <w:rFonts w:hint="eastAsia" w:ascii="仿宋" w:hAnsi="仿宋" w:eastAsia="仿宋" w:cs="仿宋"/>
          <w:b/>
          <w:bCs/>
          <w:sz w:val="24"/>
          <w:szCs w:val="24"/>
        </w:rPr>
      </w:pPr>
      <w:r>
        <w:rPr>
          <w:rFonts w:hint="eastAsia" w:ascii="仿宋" w:hAnsi="仿宋" w:eastAsia="仿宋" w:cs="仿宋"/>
          <w:b/>
          <w:bCs/>
          <w:sz w:val="24"/>
          <w:szCs w:val="24"/>
        </w:rPr>
        <w:t>（七） 采用国际标准和国外先进标准的程度，以及与国际、国外同类标准</w:t>
      </w:r>
      <w:r>
        <w:rPr>
          <w:rFonts w:hint="eastAsia" w:ascii="仿宋" w:hAnsi="仿宋" w:eastAsia="仿宋" w:cs="仿宋"/>
          <w:b/>
          <w:bCs/>
          <w:spacing w:val="-1"/>
          <w:sz w:val="24"/>
          <w:szCs w:val="24"/>
        </w:rPr>
        <w:t>水平的对比情况，或与测试的国外样品、样机的有关数据对比情况</w:t>
      </w:r>
    </w:p>
    <w:p w14:paraId="57D9B11B">
      <w:pPr>
        <w:keepNext w:val="0"/>
        <w:keepLines w:val="0"/>
        <w:pageBreakBefore w:val="0"/>
        <w:wordWrap/>
        <w:overflowPunct/>
        <w:topLinePunct w:val="0"/>
        <w:bidi w:val="0"/>
        <w:spacing w:before="196" w:line="360" w:lineRule="auto"/>
        <w:ind w:left="29" w:right="13" w:firstLine="522"/>
        <w:jc w:val="both"/>
        <w:rPr>
          <w:rFonts w:hint="default" w:ascii="Times New Roman" w:hAnsi="Times New Roman" w:cs="Times New Roman"/>
        </w:rPr>
      </w:pPr>
      <w:r>
        <w:rPr>
          <w:rFonts w:hint="default" w:ascii="Times New Roman" w:hAnsi="Times New Roman" w:eastAsia="仿宋" w:cs="Times New Roman"/>
          <w:spacing w:val="3"/>
          <w:sz w:val="24"/>
          <w:szCs w:val="24"/>
        </w:rPr>
        <w:t>目前国内外尚无针对</w:t>
      </w:r>
      <w:r>
        <w:rPr>
          <w:rFonts w:hint="default" w:ascii="Times New Roman" w:hAnsi="Times New Roman" w:eastAsia="仿宋" w:cs="Times New Roman"/>
          <w:spacing w:val="3"/>
          <w:sz w:val="24"/>
          <w:szCs w:val="24"/>
          <w:lang w:val="en-US" w:eastAsia="zh-CN"/>
        </w:rPr>
        <w:t>无菌小鼠微生物移植模型制备数据采集的</w:t>
      </w:r>
      <w:r>
        <w:rPr>
          <w:rFonts w:hint="default" w:ascii="Times New Roman" w:hAnsi="Times New Roman" w:eastAsia="仿宋" w:cs="Times New Roman"/>
          <w:spacing w:val="2"/>
          <w:sz w:val="24"/>
          <w:szCs w:val="24"/>
        </w:rPr>
        <w:t>同类标</w:t>
      </w:r>
      <w:r>
        <w:rPr>
          <w:rFonts w:hint="default" w:ascii="Times New Roman" w:hAnsi="Times New Roman" w:eastAsia="仿宋" w:cs="Times New Roman"/>
          <w:spacing w:val="-3"/>
          <w:sz w:val="24"/>
          <w:szCs w:val="24"/>
        </w:rPr>
        <w:t>准</w:t>
      </w:r>
      <w:r>
        <w:rPr>
          <w:rFonts w:hint="default" w:ascii="Times New Roman" w:hAnsi="Times New Roman" w:eastAsia="仿宋" w:cs="Times New Roman"/>
          <w:spacing w:val="-3"/>
          <w:sz w:val="24"/>
          <w:szCs w:val="24"/>
          <w:lang w:eastAsia="zh-CN"/>
        </w:rPr>
        <w:t>。</w:t>
      </w:r>
      <w:r>
        <w:rPr>
          <w:rFonts w:hint="default" w:ascii="Times New Roman" w:hAnsi="Times New Roman" w:eastAsia="仿宋" w:cs="Times New Roman"/>
          <w:spacing w:val="-3"/>
          <w:sz w:val="24"/>
          <w:szCs w:val="24"/>
        </w:rPr>
        <w:t>本标准</w:t>
      </w:r>
      <w:r>
        <w:rPr>
          <w:rFonts w:hint="default" w:ascii="Times New Roman" w:hAnsi="Times New Roman" w:eastAsia="仿宋" w:cs="Times New Roman"/>
          <w:spacing w:val="-3"/>
          <w:sz w:val="24"/>
          <w:szCs w:val="24"/>
          <w:lang w:val="en-US" w:eastAsia="zh-CN"/>
        </w:rPr>
        <w:t>总结归纳了</w:t>
      </w:r>
      <w:r>
        <w:rPr>
          <w:rFonts w:hint="default" w:ascii="Times New Roman" w:hAnsi="Times New Roman" w:eastAsia="仿宋" w:cs="Times New Roman"/>
          <w:spacing w:val="-3"/>
          <w:sz w:val="24"/>
          <w:szCs w:val="24"/>
        </w:rPr>
        <w:t>起草单位与</w:t>
      </w:r>
      <w:r>
        <w:rPr>
          <w:rFonts w:hint="default" w:ascii="Times New Roman" w:hAnsi="Times New Roman" w:eastAsia="仿宋" w:cs="Times New Roman"/>
          <w:spacing w:val="-4"/>
          <w:sz w:val="24"/>
          <w:szCs w:val="24"/>
        </w:rPr>
        <w:t>参编单位长</w:t>
      </w:r>
      <w:r>
        <w:rPr>
          <w:rFonts w:hint="default" w:ascii="Times New Roman" w:hAnsi="Times New Roman" w:eastAsia="仿宋" w:cs="Times New Roman"/>
          <w:spacing w:val="-3"/>
          <w:sz w:val="24"/>
          <w:szCs w:val="24"/>
        </w:rPr>
        <w:t>期</w:t>
      </w:r>
      <w:r>
        <w:rPr>
          <w:rFonts w:hint="default" w:ascii="Times New Roman" w:hAnsi="Times New Roman" w:eastAsia="仿宋" w:cs="Times New Roman"/>
          <w:spacing w:val="-3"/>
          <w:sz w:val="24"/>
          <w:szCs w:val="24"/>
          <w:lang w:val="en-US" w:eastAsia="zh-CN"/>
        </w:rPr>
        <w:t>从事无菌小鼠</w:t>
      </w:r>
      <w:r>
        <w:rPr>
          <w:rFonts w:hint="default" w:ascii="Times New Roman" w:hAnsi="Times New Roman" w:eastAsia="仿宋" w:cs="Times New Roman"/>
          <w:spacing w:val="-3"/>
          <w:sz w:val="24"/>
          <w:szCs w:val="24"/>
        </w:rPr>
        <w:t>微生物移植模型</w:t>
      </w:r>
      <w:r>
        <w:rPr>
          <w:rFonts w:hint="default" w:ascii="Times New Roman" w:hAnsi="Times New Roman" w:eastAsia="仿宋" w:cs="Times New Roman"/>
          <w:spacing w:val="-3"/>
          <w:sz w:val="24"/>
          <w:szCs w:val="24"/>
          <w:lang w:val="en-US" w:eastAsia="zh-CN"/>
        </w:rPr>
        <w:t>方面</w:t>
      </w:r>
      <w:r>
        <w:rPr>
          <w:rFonts w:hint="default" w:ascii="Times New Roman" w:hAnsi="Times New Roman" w:eastAsia="仿宋" w:cs="Times New Roman"/>
          <w:spacing w:val="-3"/>
          <w:sz w:val="24"/>
          <w:szCs w:val="24"/>
        </w:rPr>
        <w:t>的技术经验</w:t>
      </w:r>
      <w:r>
        <w:rPr>
          <w:rFonts w:hint="default" w:ascii="Times New Roman" w:hAnsi="Times New Roman" w:eastAsia="仿宋" w:cs="Times New Roman"/>
          <w:spacing w:val="-3"/>
          <w:sz w:val="24"/>
          <w:szCs w:val="24"/>
          <w:lang w:eastAsia="zh-CN"/>
        </w:rPr>
        <w:t>、</w:t>
      </w:r>
      <w:r>
        <w:rPr>
          <w:rFonts w:hint="default" w:ascii="Times New Roman" w:hAnsi="Times New Roman" w:eastAsia="仿宋" w:cs="Times New Roman"/>
          <w:spacing w:val="-3"/>
          <w:sz w:val="24"/>
          <w:szCs w:val="24"/>
        </w:rPr>
        <w:t>数据</w:t>
      </w:r>
      <w:r>
        <w:rPr>
          <w:rFonts w:hint="default" w:ascii="Times New Roman" w:hAnsi="Times New Roman" w:eastAsia="仿宋" w:cs="Times New Roman"/>
          <w:spacing w:val="-3"/>
          <w:sz w:val="24"/>
          <w:szCs w:val="24"/>
          <w:lang w:eastAsia="zh-CN"/>
        </w:rPr>
        <w:t>，</w:t>
      </w:r>
      <w:r>
        <w:rPr>
          <w:rFonts w:hint="default" w:ascii="Times New Roman" w:hAnsi="Times New Roman" w:eastAsia="仿宋" w:cs="Times New Roman"/>
          <w:spacing w:val="-3"/>
          <w:sz w:val="24"/>
          <w:szCs w:val="24"/>
          <w:lang w:val="en-US" w:eastAsia="zh-CN"/>
        </w:rPr>
        <w:t>结合</w:t>
      </w:r>
      <w:r>
        <w:rPr>
          <w:rFonts w:hint="default" w:ascii="Times New Roman" w:hAnsi="Times New Roman" w:eastAsia="仿宋" w:cs="Times New Roman"/>
          <w:spacing w:val="-3"/>
          <w:sz w:val="24"/>
          <w:szCs w:val="24"/>
        </w:rPr>
        <w:t>国内外文献及技术资料，是</w:t>
      </w:r>
      <w:r>
        <w:rPr>
          <w:rFonts w:hint="default" w:ascii="Times New Roman" w:hAnsi="Times New Roman" w:eastAsia="仿宋" w:cs="Times New Roman"/>
          <w:spacing w:val="-3"/>
          <w:sz w:val="24"/>
          <w:szCs w:val="24"/>
          <w:lang w:val="en-US" w:eastAsia="zh-CN"/>
        </w:rPr>
        <w:t>国内</w:t>
      </w:r>
      <w:r>
        <w:rPr>
          <w:rFonts w:hint="default" w:ascii="Times New Roman" w:hAnsi="Times New Roman" w:eastAsia="仿宋" w:cs="Times New Roman"/>
          <w:spacing w:val="-3"/>
          <w:sz w:val="24"/>
          <w:szCs w:val="24"/>
        </w:rPr>
        <w:t>第一个针</w:t>
      </w:r>
      <w:r>
        <w:rPr>
          <w:rFonts w:hint="default" w:ascii="Times New Roman" w:hAnsi="Times New Roman" w:eastAsia="仿宋" w:cs="Times New Roman"/>
          <w:spacing w:val="-4"/>
          <w:sz w:val="24"/>
          <w:szCs w:val="24"/>
        </w:rPr>
        <w:t>对</w:t>
      </w:r>
      <w:r>
        <w:rPr>
          <w:rFonts w:hint="default" w:ascii="Times New Roman" w:hAnsi="Times New Roman" w:eastAsia="仿宋" w:cs="Times New Roman"/>
          <w:spacing w:val="-4"/>
          <w:sz w:val="24"/>
          <w:szCs w:val="24"/>
          <w:lang w:val="en-US" w:eastAsia="zh-CN"/>
        </w:rPr>
        <w:t>无菌小鼠</w:t>
      </w:r>
      <w:r>
        <w:rPr>
          <w:rFonts w:hint="default" w:ascii="Times New Roman" w:hAnsi="Times New Roman" w:eastAsia="仿宋" w:cs="Times New Roman"/>
          <w:spacing w:val="-3"/>
          <w:sz w:val="24"/>
          <w:szCs w:val="24"/>
        </w:rPr>
        <w:t>微生物移植模型制备</w:t>
      </w:r>
      <w:r>
        <w:rPr>
          <w:rFonts w:hint="default" w:ascii="Times New Roman" w:hAnsi="Times New Roman" w:eastAsia="仿宋" w:cs="Times New Roman"/>
          <w:spacing w:val="-3"/>
          <w:sz w:val="24"/>
          <w:szCs w:val="24"/>
          <w:lang w:val="en-US" w:eastAsia="zh-CN"/>
        </w:rPr>
        <w:t>数据采集方面的</w:t>
      </w:r>
      <w:r>
        <w:rPr>
          <w:rFonts w:hint="default" w:ascii="Times New Roman" w:hAnsi="Times New Roman" w:eastAsia="仿宋" w:cs="Times New Roman"/>
          <w:spacing w:val="-3"/>
          <w:sz w:val="24"/>
          <w:szCs w:val="24"/>
        </w:rPr>
        <w:t>团体标准</w:t>
      </w:r>
      <w:r>
        <w:rPr>
          <w:rFonts w:hint="default" w:ascii="Times New Roman" w:hAnsi="Times New Roman" w:eastAsia="仿宋" w:cs="Times New Roman"/>
          <w:spacing w:val="-1"/>
          <w:sz w:val="24"/>
          <w:szCs w:val="24"/>
        </w:rPr>
        <w:t>。</w:t>
      </w:r>
      <w:r>
        <w:rPr>
          <w:rFonts w:hint="default" w:ascii="Times New Roman" w:hAnsi="Times New Roman" w:eastAsia="仿宋" w:cs="Times New Roman"/>
          <w:b/>
          <w:bCs/>
          <w:snapToGrid w:val="0"/>
          <w:color w:val="000000"/>
          <w:kern w:val="0"/>
          <w:sz w:val="24"/>
          <w:szCs w:val="24"/>
          <w:lang w:val="en-US" w:eastAsia="zh-CN" w:bidi="ar"/>
        </w:rPr>
        <w:t xml:space="preserve"> </w:t>
      </w:r>
    </w:p>
    <w:p w14:paraId="5072710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本标准在编制过程中，充分参考了当前国际上关于无菌动物繁育及模型评价的技术方法，主要参考了以下内容：</w:t>
      </w:r>
    </w:p>
    <w:p w14:paraId="1196C63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（1）无菌小鼠繁育方法：充分借鉴国外实验动物研究机构在无菌小鼠方面的先进理念和技术方法，如以胚胎移植技术替代剖宫产技术，使用更环保的消毒灭菌方法等；</w:t>
      </w:r>
    </w:p>
    <w:p w14:paraId="1B42340F">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pacing w:val="3"/>
          <w:sz w:val="24"/>
          <w:szCs w:val="24"/>
        </w:rPr>
      </w:pPr>
      <w:r>
        <w:rPr>
          <w:rFonts w:hint="default" w:ascii="Times New Roman" w:hAnsi="Times New Roman" w:eastAsia="仿宋" w:cs="Times New Roman"/>
          <w:snapToGrid w:val="0"/>
          <w:color w:val="000000"/>
          <w:kern w:val="0"/>
          <w:sz w:val="24"/>
          <w:szCs w:val="24"/>
          <w:lang w:val="en-US" w:eastAsia="zh-CN" w:bidi="ar"/>
        </w:rPr>
        <w:t>（2）生物安全与伦理要求：借鉴国际实验动物伦理准则（如</w:t>
      </w:r>
      <w:r>
        <w:rPr>
          <w:rFonts w:hint="default" w:ascii="Times New Roman" w:hAnsi="Times New Roman" w:eastAsia="宋体" w:cs="Times New Roman"/>
          <w:snapToGrid w:val="0"/>
          <w:color w:val="000000"/>
          <w:kern w:val="0"/>
          <w:sz w:val="24"/>
          <w:szCs w:val="24"/>
          <w:lang w:val="en-US" w:eastAsia="zh-CN" w:bidi="ar"/>
        </w:rPr>
        <w:t>AAALAC</w:t>
      </w:r>
      <w:r>
        <w:rPr>
          <w:rFonts w:hint="default" w:ascii="Times New Roman" w:hAnsi="Times New Roman" w:eastAsia="仿宋" w:cs="Times New Roman"/>
          <w:snapToGrid w:val="0"/>
          <w:color w:val="000000"/>
          <w:kern w:val="0"/>
          <w:sz w:val="24"/>
          <w:szCs w:val="24"/>
          <w:lang w:val="en-US" w:eastAsia="zh-CN" w:bidi="ar"/>
        </w:rPr>
        <w:t>标准）及生物安全实验室操作规范，结合我国的实验动物现状，确保实验过程符合国际安全与伦理要求。</w:t>
      </w:r>
    </w:p>
    <w:p w14:paraId="6A5DBA15">
      <w:pPr>
        <w:keepNext w:val="0"/>
        <w:keepLines w:val="0"/>
        <w:pageBreakBefore w:val="0"/>
        <w:wordWrap/>
        <w:overflowPunct/>
        <w:topLinePunct w:val="0"/>
        <w:bidi w:val="0"/>
        <w:spacing w:before="196" w:line="360" w:lineRule="auto"/>
        <w:rPr>
          <w:rFonts w:hint="default" w:ascii="Times New Roman" w:hAnsi="Times New Roman" w:eastAsia="仿宋" w:cs="Times New Roman"/>
          <w:b/>
          <w:bCs/>
          <w:sz w:val="24"/>
          <w:szCs w:val="24"/>
        </w:rPr>
      </w:pPr>
      <w:r>
        <w:rPr>
          <w:rFonts w:hint="default" w:ascii="Times New Roman" w:hAnsi="Times New Roman" w:eastAsia="仿宋" w:cs="Times New Roman"/>
          <w:b/>
          <w:bCs/>
          <w:spacing w:val="-1"/>
          <w:sz w:val="24"/>
          <w:szCs w:val="24"/>
        </w:rPr>
        <w:t>（八） 与有关的现行法律、法规和强制性标准的关系</w:t>
      </w:r>
    </w:p>
    <w:p w14:paraId="20CBAAA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92" w:firstLineChars="200"/>
        <w:jc w:val="left"/>
        <w:textAlignment w:val="baseline"/>
        <w:rPr>
          <w:rFonts w:hint="default" w:ascii="Times New Roman" w:hAnsi="Times New Roman" w:eastAsia="仿宋" w:cs="Times New Roman"/>
          <w:spacing w:val="-2"/>
          <w:sz w:val="24"/>
          <w:szCs w:val="24"/>
        </w:rPr>
      </w:pPr>
      <w:r>
        <w:rPr>
          <w:rFonts w:hint="default" w:ascii="Times New Roman" w:hAnsi="Times New Roman" w:eastAsia="仿宋" w:cs="Times New Roman"/>
          <w:spacing w:val="3"/>
          <w:sz w:val="24"/>
          <w:szCs w:val="24"/>
        </w:rPr>
        <w:t>目前国内缺乏相关标准，本标准的编制参考了目前实</w:t>
      </w:r>
      <w:r>
        <w:rPr>
          <w:rFonts w:hint="default" w:ascii="Times New Roman" w:hAnsi="Times New Roman" w:eastAsia="仿宋" w:cs="Times New Roman"/>
          <w:spacing w:val="2"/>
          <w:sz w:val="24"/>
          <w:szCs w:val="24"/>
        </w:rPr>
        <w:t>验动物相关标准的规</w:t>
      </w:r>
      <w:r>
        <w:rPr>
          <w:rFonts w:hint="default" w:ascii="Times New Roman" w:hAnsi="Times New Roman" w:eastAsia="仿宋" w:cs="Times New Roman"/>
          <w:sz w:val="24"/>
          <w:szCs w:val="24"/>
        </w:rPr>
        <w:t xml:space="preserve"> </w:t>
      </w:r>
      <w:r>
        <w:rPr>
          <w:rFonts w:hint="default" w:ascii="Times New Roman" w:hAnsi="Times New Roman" w:eastAsia="仿宋" w:cs="Times New Roman"/>
          <w:spacing w:val="-3"/>
          <w:sz w:val="24"/>
          <w:szCs w:val="24"/>
        </w:rPr>
        <w:t>定，与实验动物有关的现行法律、法规和强制性标准等</w:t>
      </w:r>
      <w:r>
        <w:rPr>
          <w:rFonts w:hint="default" w:ascii="Times New Roman" w:hAnsi="Times New Roman" w:eastAsia="仿宋" w:cs="Times New Roman"/>
          <w:spacing w:val="-4"/>
          <w:sz w:val="24"/>
          <w:szCs w:val="24"/>
        </w:rPr>
        <w:t>没有冲突，</w:t>
      </w:r>
      <w:r>
        <w:rPr>
          <w:rFonts w:hint="default" w:ascii="Times New Roman" w:hAnsi="Times New Roman" w:eastAsia="仿宋" w:cs="Times New Roman"/>
          <w:snapToGrid w:val="0"/>
          <w:color w:val="000000"/>
          <w:kern w:val="0"/>
          <w:sz w:val="24"/>
          <w:szCs w:val="24"/>
          <w:lang w:val="en-US" w:eastAsia="zh-CN" w:bidi="ar"/>
        </w:rPr>
        <w:t>并在技术细节上补充了实际操作的规范性，为行业研究和应用提供指导。</w:t>
      </w:r>
      <w:r>
        <w:rPr>
          <w:rFonts w:hint="default" w:ascii="Times New Roman" w:hAnsi="Times New Roman" w:eastAsia="仿宋" w:cs="Times New Roman"/>
          <w:spacing w:val="-4"/>
          <w:sz w:val="24"/>
          <w:szCs w:val="24"/>
        </w:rPr>
        <w:t>是我国</w:t>
      </w:r>
      <w:r>
        <w:rPr>
          <w:rFonts w:hint="default" w:ascii="Times New Roman" w:hAnsi="Times New Roman" w:eastAsia="仿宋" w:cs="Times New Roman"/>
          <w:spacing w:val="-2"/>
          <w:sz w:val="24"/>
          <w:szCs w:val="24"/>
        </w:rPr>
        <w:t>实验动物标准体系的重要补充。</w:t>
      </w:r>
    </w:p>
    <w:p w14:paraId="28E68414">
      <w:pPr>
        <w:keepNext w:val="0"/>
        <w:keepLines w:val="0"/>
        <w:pageBreakBefore w:val="0"/>
        <w:widowControl/>
        <w:numPr>
          <w:ilvl w:val="0"/>
          <w:numId w:val="7"/>
        </w:numPr>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b w:val="0"/>
          <w:bCs w:val="0"/>
          <w:snapToGrid w:val="0"/>
          <w:color w:val="000000"/>
          <w:kern w:val="0"/>
          <w:sz w:val="24"/>
          <w:szCs w:val="24"/>
          <w:lang w:val="en-US" w:eastAsia="zh-CN" w:bidi="ar"/>
        </w:rPr>
      </w:pPr>
      <w:r>
        <w:rPr>
          <w:rFonts w:hint="default" w:ascii="Times New Roman" w:hAnsi="Times New Roman" w:eastAsia="仿宋" w:cs="Times New Roman"/>
          <w:b w:val="0"/>
          <w:bCs w:val="0"/>
          <w:snapToGrid w:val="0"/>
          <w:color w:val="000000"/>
          <w:kern w:val="0"/>
          <w:sz w:val="24"/>
          <w:szCs w:val="24"/>
          <w:lang w:val="en-US" w:eastAsia="zh-CN" w:bidi="ar"/>
        </w:rPr>
        <w:t>法律法规的依从性</w:t>
      </w:r>
    </w:p>
    <w:p w14:paraId="2312055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b w:val="0"/>
          <w:bCs w:val="0"/>
          <w:snapToGrid w:val="0"/>
          <w:color w:val="000000"/>
          <w:kern w:val="0"/>
          <w:sz w:val="24"/>
          <w:szCs w:val="24"/>
          <w:lang w:val="en-US" w:eastAsia="zh-CN" w:bidi="ar"/>
        </w:rPr>
        <w:t>（1）</w:t>
      </w:r>
      <w:r>
        <w:rPr>
          <w:rFonts w:hint="default" w:ascii="Times New Roman" w:hAnsi="Times New Roman" w:eastAsia="仿宋" w:cs="Times New Roman"/>
          <w:snapToGrid w:val="0"/>
          <w:color w:val="000000"/>
          <w:kern w:val="0"/>
          <w:sz w:val="24"/>
          <w:szCs w:val="24"/>
          <w:lang w:val="en-US" w:eastAsia="zh-CN" w:bidi="ar"/>
        </w:rPr>
        <w:t xml:space="preserve">《中华人民共和国人类遗传资源管理条例》 </w:t>
      </w:r>
    </w:p>
    <w:p w14:paraId="3FC66DE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本标准明确了人粪便样本的采集要符合对人类遗传资源的管理要求，确保无菌小鼠肠道微生物移植模型制备活动在遵守国家遗传资源安全保护政策的前提下进行。人样本采集需经过医学伦理审查，获得患者知情同意书。数据管理符合遗传资源管理条例的数据保存和备案要求。</w:t>
      </w:r>
    </w:p>
    <w:p w14:paraId="4026227C">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（2）《中华人民共和国生物安全法》</w:t>
      </w:r>
    </w:p>
    <w:p w14:paraId="6C22CE0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模型制备涉及患者粪便样本和实验动物的生物安全风险管理。本标准按照《生物安全法》的要求制定，确保人员与环境的安全。</w:t>
      </w:r>
    </w:p>
    <w:p w14:paraId="2236669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 xml:space="preserve">（3）《中华人民共和国实验动物管理条例》 </w:t>
      </w:r>
    </w:p>
    <w:p w14:paraId="3AF970E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本标准在实验动物选择、动物福利等方面与该条例保持一致。</w:t>
      </w:r>
    </w:p>
    <w:p w14:paraId="03B9A14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宋体" w:cs="Times New Roman"/>
          <w:snapToGrid w:val="0"/>
          <w:color w:val="000000"/>
          <w:kern w:val="0"/>
          <w:sz w:val="24"/>
          <w:szCs w:val="24"/>
          <w:lang w:val="en-US" w:eastAsia="zh-CN" w:bidi="ar"/>
        </w:rPr>
        <w:t>2、</w:t>
      </w:r>
      <w:r>
        <w:rPr>
          <w:rFonts w:hint="default" w:ascii="Times New Roman" w:hAnsi="Times New Roman" w:eastAsia="仿宋" w:cs="Times New Roman"/>
          <w:snapToGrid w:val="0"/>
          <w:color w:val="000000"/>
          <w:kern w:val="0"/>
          <w:sz w:val="24"/>
          <w:szCs w:val="24"/>
          <w:lang w:val="en-US" w:eastAsia="zh-CN" w:bidi="ar"/>
        </w:rPr>
        <w:t xml:space="preserve">强制性标准的依从性 </w:t>
      </w:r>
    </w:p>
    <w:p w14:paraId="3451654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宋体" w:cs="Times New Roman"/>
          <w:snapToGrid w:val="0"/>
          <w:color w:val="000000"/>
          <w:kern w:val="0"/>
          <w:sz w:val="24"/>
          <w:szCs w:val="24"/>
          <w:lang w:val="en-US" w:eastAsia="zh-CN" w:bidi="ar"/>
        </w:rPr>
        <w:t>（1）</w:t>
      </w:r>
      <w:r>
        <w:rPr>
          <w:rFonts w:hint="default" w:ascii="Times New Roman" w:hAnsi="Times New Roman" w:eastAsia="宋体" w:cs="Times New Roman"/>
          <w:snapToGrid w:val="0"/>
          <w:color w:val="000000"/>
          <w:kern w:val="0"/>
          <w:sz w:val="24"/>
          <w:szCs w:val="24"/>
          <w:lang w:val="en-US" w:eastAsia="zh-CN" w:bidi="ar"/>
        </w:rPr>
        <w:t>GB14922</w:t>
      </w:r>
      <w:r>
        <w:rPr>
          <w:rFonts w:hint="default" w:ascii="Times New Roman" w:hAnsi="Times New Roman" w:eastAsia="仿宋" w:cs="Times New Roman"/>
          <w:snapToGrid w:val="0"/>
          <w:color w:val="000000"/>
          <w:kern w:val="0"/>
          <w:sz w:val="24"/>
          <w:szCs w:val="24"/>
          <w:lang w:val="en-US" w:eastAsia="zh-CN" w:bidi="ar"/>
        </w:rPr>
        <w:t>《实验动物微生物学、寄生虫学等级与监测》</w:t>
      </w:r>
    </w:p>
    <w:p w14:paraId="6BEA746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本标准中明确要求肠道微生物移植模型使用无菌小鼠，并按</w:t>
      </w:r>
      <w:r>
        <w:rPr>
          <w:rFonts w:hint="default" w:ascii="Times New Roman" w:hAnsi="Times New Roman" w:eastAsia="宋体" w:cs="Times New Roman"/>
          <w:snapToGrid w:val="0"/>
          <w:color w:val="000000"/>
          <w:kern w:val="0"/>
          <w:sz w:val="24"/>
          <w:szCs w:val="24"/>
          <w:lang w:val="en-US" w:eastAsia="zh-CN" w:bidi="ar"/>
        </w:rPr>
        <w:t>GB</w:t>
      </w:r>
      <w:r>
        <w:rPr>
          <w:rFonts w:hint="default" w:ascii="Times New Roman" w:hAnsi="Times New Roman" w:eastAsia="宋体" w:cs="Times New Roman"/>
          <w:snapToGrid w:val="0"/>
          <w:color w:val="000000"/>
          <w:kern w:val="0"/>
          <w:sz w:val="8"/>
          <w:szCs w:val="8"/>
          <w:lang w:val="en-US" w:eastAsia="zh-CN" w:bidi="ar"/>
        </w:rPr>
        <w:t xml:space="preserve"> </w:t>
      </w:r>
      <w:r>
        <w:rPr>
          <w:rFonts w:hint="default" w:ascii="Times New Roman" w:hAnsi="Times New Roman" w:eastAsia="宋体" w:cs="Times New Roman"/>
          <w:snapToGrid w:val="0"/>
          <w:color w:val="000000"/>
          <w:kern w:val="0"/>
          <w:sz w:val="24"/>
          <w:szCs w:val="24"/>
          <w:lang w:val="en-US" w:eastAsia="zh-CN" w:bidi="ar"/>
        </w:rPr>
        <w:t>14922</w:t>
      </w:r>
      <w:r>
        <w:rPr>
          <w:rFonts w:hint="default" w:ascii="Times New Roman" w:hAnsi="Times New Roman" w:eastAsia="仿宋" w:cs="Times New Roman"/>
          <w:snapToGrid w:val="0"/>
          <w:color w:val="000000"/>
          <w:kern w:val="0"/>
          <w:sz w:val="24"/>
          <w:szCs w:val="24"/>
          <w:lang w:val="en-US" w:eastAsia="zh-CN" w:bidi="ar"/>
        </w:rPr>
        <w:t>对微生物和寄生虫指标进行监测，确保实验动物符合规范。</w:t>
      </w:r>
    </w:p>
    <w:p w14:paraId="1F9A87E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pacing w:val="-2"/>
          <w:sz w:val="24"/>
          <w:szCs w:val="24"/>
          <w:lang w:eastAsia="zh-CN"/>
        </w:rPr>
        <w:t>（</w:t>
      </w:r>
      <w:r>
        <w:rPr>
          <w:rFonts w:hint="default" w:ascii="Times New Roman" w:hAnsi="Times New Roman" w:eastAsia="仿宋" w:cs="Times New Roman"/>
          <w:spacing w:val="-2"/>
          <w:sz w:val="24"/>
          <w:szCs w:val="24"/>
          <w:lang w:val="en-US" w:eastAsia="zh-CN"/>
        </w:rPr>
        <w:t>2</w:t>
      </w:r>
      <w:r>
        <w:rPr>
          <w:rFonts w:hint="default" w:ascii="Times New Roman" w:hAnsi="Times New Roman" w:eastAsia="仿宋" w:cs="Times New Roman"/>
          <w:spacing w:val="-2"/>
          <w:sz w:val="24"/>
          <w:szCs w:val="24"/>
          <w:lang w:eastAsia="zh-CN"/>
        </w:rPr>
        <w:t>）</w:t>
      </w:r>
      <w:r>
        <w:rPr>
          <w:rFonts w:hint="default" w:ascii="Times New Roman" w:hAnsi="Times New Roman" w:eastAsia="宋体" w:cs="Times New Roman"/>
          <w:snapToGrid w:val="0"/>
          <w:color w:val="000000"/>
          <w:kern w:val="0"/>
          <w:sz w:val="24"/>
          <w:szCs w:val="24"/>
          <w:lang w:val="en-US" w:eastAsia="zh-CN" w:bidi="ar"/>
        </w:rPr>
        <w:t>GB/T35892</w:t>
      </w:r>
      <w:r>
        <w:rPr>
          <w:rFonts w:hint="default" w:ascii="Times New Roman" w:hAnsi="Times New Roman" w:eastAsia="仿宋" w:cs="Times New Roman"/>
          <w:snapToGrid w:val="0"/>
          <w:color w:val="000000"/>
          <w:kern w:val="0"/>
          <w:sz w:val="24"/>
          <w:szCs w:val="24"/>
          <w:lang w:val="en-US" w:eastAsia="zh-CN" w:bidi="ar"/>
        </w:rPr>
        <w:t xml:space="preserve">《实验动物福利伦理审查指南》 </w:t>
      </w:r>
    </w:p>
    <w:p w14:paraId="10F3E2C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本标准在动物使用伦理方面与该指南保持一致。</w:t>
      </w:r>
    </w:p>
    <w:p w14:paraId="7EBA2CE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宋体" w:cs="Times New Roman"/>
          <w:snapToGrid w:val="0"/>
          <w:color w:val="000000"/>
          <w:kern w:val="0"/>
          <w:sz w:val="24"/>
          <w:szCs w:val="24"/>
          <w:lang w:val="en-US" w:eastAsia="zh-CN" w:bidi="ar"/>
        </w:rPr>
        <w:t>3、</w:t>
      </w:r>
      <w:r>
        <w:rPr>
          <w:rFonts w:hint="default" w:ascii="Times New Roman" w:hAnsi="Times New Roman" w:eastAsia="仿宋" w:cs="Times New Roman"/>
          <w:snapToGrid w:val="0"/>
          <w:color w:val="000000"/>
          <w:kern w:val="0"/>
          <w:sz w:val="24"/>
          <w:szCs w:val="24"/>
          <w:lang w:val="en-US" w:eastAsia="zh-CN" w:bidi="ar"/>
        </w:rPr>
        <w:t xml:space="preserve">补充现行标准的关系 </w:t>
      </w:r>
    </w:p>
    <w:p w14:paraId="407AF54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pacing w:val="-2"/>
          <w:sz w:val="24"/>
          <w:szCs w:val="24"/>
          <w:lang w:eastAsia="zh-CN"/>
        </w:rPr>
      </w:pPr>
      <w:r>
        <w:rPr>
          <w:rFonts w:hint="default" w:ascii="Times New Roman" w:hAnsi="Times New Roman" w:eastAsia="仿宋" w:cs="Times New Roman"/>
          <w:snapToGrid w:val="0"/>
          <w:color w:val="000000"/>
          <w:kern w:val="0"/>
          <w:sz w:val="24"/>
          <w:szCs w:val="24"/>
          <w:lang w:val="en-US" w:eastAsia="zh-CN" w:bidi="ar"/>
        </w:rPr>
        <w:t>本标准对无菌小鼠肠道微生物移植模型制备及评价过程产生数据（如生理、生化、组学数据、疾病特征性指标）的采集进行了规范性指导，对现行法律和强制性标准进行了技术性补充。提出了更细化的规范要求，弥补现行标准在此领域的空白。</w:t>
      </w:r>
    </w:p>
    <w:p w14:paraId="0EF35078">
      <w:pPr>
        <w:keepNext w:val="0"/>
        <w:keepLines w:val="0"/>
        <w:pageBreakBefore w:val="0"/>
        <w:wordWrap/>
        <w:overflowPunct/>
        <w:topLinePunct w:val="0"/>
        <w:bidi w:val="0"/>
        <w:spacing w:before="196" w:line="360" w:lineRule="auto"/>
        <w:rPr>
          <w:rFonts w:hint="default" w:ascii="Times New Roman" w:hAnsi="Times New Roman" w:eastAsia="仿宋" w:cs="Times New Roman"/>
          <w:b/>
          <w:bCs/>
          <w:sz w:val="24"/>
          <w:szCs w:val="24"/>
        </w:rPr>
      </w:pPr>
      <w:r>
        <w:rPr>
          <w:rFonts w:hint="default" w:ascii="Times New Roman" w:hAnsi="Times New Roman" w:eastAsia="仿宋" w:cs="Times New Roman"/>
          <w:b/>
          <w:bCs/>
          <w:spacing w:val="-2"/>
          <w:sz w:val="24"/>
          <w:szCs w:val="24"/>
        </w:rPr>
        <w:t>（九） 重大分歧意见的处理经过和依据</w:t>
      </w:r>
    </w:p>
    <w:p w14:paraId="0C3AC29A">
      <w:pPr>
        <w:keepNext w:val="0"/>
        <w:keepLines w:val="0"/>
        <w:pageBreakBefore w:val="0"/>
        <w:wordWrap/>
        <w:overflowPunct/>
        <w:topLinePunct w:val="0"/>
        <w:bidi w:val="0"/>
        <w:spacing w:before="79" w:line="360" w:lineRule="auto"/>
        <w:ind w:firstLine="480" w:firstLineChars="200"/>
        <w:rPr>
          <w:rFonts w:hint="default" w:ascii="Times New Roman" w:hAnsi="Times New Roman" w:eastAsia="仿宋" w:cs="Times New Roman"/>
          <w:sz w:val="24"/>
          <w:szCs w:val="24"/>
        </w:rPr>
      </w:pPr>
      <w:r>
        <w:rPr>
          <w:rFonts w:hint="default" w:ascii="Times New Roman" w:hAnsi="Times New Roman" w:eastAsia="仿宋" w:cs="Times New Roman"/>
          <w:sz w:val="24"/>
          <w:szCs w:val="24"/>
        </w:rPr>
        <w:t>无</w:t>
      </w:r>
    </w:p>
    <w:p w14:paraId="1ACE9A3B">
      <w:pPr>
        <w:keepNext w:val="0"/>
        <w:keepLines w:val="0"/>
        <w:pageBreakBefore w:val="0"/>
        <w:wordWrap/>
        <w:overflowPunct/>
        <w:topLinePunct w:val="0"/>
        <w:bidi w:val="0"/>
        <w:spacing w:before="79" w:line="360" w:lineRule="auto"/>
        <w:rPr>
          <w:rFonts w:hint="default" w:ascii="Times New Roman" w:hAnsi="Times New Roman" w:eastAsia="仿宋" w:cs="Times New Roman"/>
          <w:b/>
          <w:bCs/>
          <w:sz w:val="24"/>
          <w:szCs w:val="24"/>
        </w:rPr>
      </w:pPr>
      <w:r>
        <w:rPr>
          <w:rFonts w:hint="default" w:ascii="Times New Roman" w:hAnsi="Times New Roman" w:eastAsia="仿宋" w:cs="Times New Roman"/>
          <w:b/>
          <w:bCs/>
          <w:spacing w:val="-1"/>
          <w:sz w:val="24"/>
          <w:szCs w:val="24"/>
        </w:rPr>
        <w:t>（十） 标准作为强制性标准或推荐性标准的建议</w:t>
      </w:r>
    </w:p>
    <w:p w14:paraId="424D2A6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 xml:space="preserve">本标准编制的目的在于规范无菌小鼠肠道微生物移植模型制备及评价过程产生数据采集，使模型制备评价具有可重复性，为相关领域的科学研究、技术应用及成果转化提供助力。鉴于目前国内无菌小鼠繁育及应用还处于发展阶段，考虑到技术普及程度、行业推广程度等因素，建议将本标准作为推荐性标准实施，主要依据为： </w:t>
      </w:r>
    </w:p>
    <w:p w14:paraId="5914B796">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lang w:val="en-US"/>
        </w:rPr>
      </w:pPr>
      <w:r>
        <w:rPr>
          <w:rFonts w:hint="default" w:ascii="Times New Roman" w:hAnsi="Times New Roman" w:eastAsia="仿宋" w:cs="Times New Roman"/>
          <w:snapToGrid w:val="0"/>
          <w:color w:val="000000"/>
          <w:kern w:val="0"/>
          <w:sz w:val="24"/>
          <w:szCs w:val="24"/>
          <w:lang w:val="en-US" w:eastAsia="zh-CN" w:bidi="ar"/>
        </w:rPr>
        <w:t>1、无菌小鼠繁育及模型制备现状的考量</w:t>
      </w:r>
    </w:p>
    <w:p w14:paraId="30F9E05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随着肠道菌群与疾病关系研究成为热点，无菌小鼠肠道微生物移植模型制备近年来需求大增。但繁殖无菌小鼠对技术要求较高，目前国内能进行小鼠肠道菌群移植机构有限，且各研究单位在实验设施设备、无菌小鼠繁育及模型制备技术能力和研究目标上存在差异，尚未形成完全统一的操作流程和评价体系。作为推荐性标准，可以在提供技术指导的同时，保留一定的灵活性，适应各单位不同的实验条件，有助于推动行业规范化进程。</w:t>
      </w:r>
    </w:p>
    <w:p w14:paraId="5563892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2、推荐性标准适用范围更广泛</w:t>
      </w:r>
    </w:p>
    <w:p w14:paraId="241854A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强制性标准通常要求适用范围覆盖更广，但本标准涉及的技术内容具有较强的专业性和针对性，主要适用于进行肠道微生物与疾病关系研究机构、益生菌、益生元等药物研发企业和精准医疗领域。作为推荐性标准，更符合特定领域用户的需求，有助于标准的推广和实施。</w:t>
      </w:r>
    </w:p>
    <w:p w14:paraId="038DDB8E">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3.社会与经济效益</w:t>
      </w:r>
    </w:p>
    <w:p w14:paraId="28215A2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标准的实验需要付出经济和人员技术方面的成本。推荐性标准为单位提供参考依据和操作指南，对相关单位尤其是中小型机构的负担较小。同事可以增加行业整体对标准的接受程度，从而产生更广泛的社会效益。</w:t>
      </w:r>
    </w:p>
    <w:p w14:paraId="5328B7E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4、实施方式建议</w:t>
      </w:r>
    </w:p>
    <w:p w14:paraId="377576B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z w:val="24"/>
          <w:szCs w:val="24"/>
        </w:rPr>
      </w:pPr>
      <w:r>
        <w:rPr>
          <w:rFonts w:hint="default" w:ascii="Times New Roman" w:hAnsi="Times New Roman" w:eastAsia="仿宋" w:cs="Times New Roman"/>
          <w:snapToGrid w:val="0"/>
          <w:color w:val="000000"/>
          <w:kern w:val="0"/>
          <w:sz w:val="24"/>
          <w:szCs w:val="24"/>
          <w:lang w:val="en-US" w:eastAsia="zh-CN" w:bidi="ar"/>
        </w:rPr>
        <w:t>作为推荐性标准，本标准可以通过以下方式推进实施：鼓励科研机构和企业参考标准内容，逐步建立规范化的实验流程和质量控制体系。配合行业协会、技术研讨会和培训活动，促进标准内容的普及和技术交流。随着技术和行业的进一步发展，适时评估是否需将推荐性标准提升为强制性标准。</w:t>
      </w:r>
    </w:p>
    <w:p w14:paraId="52CD4095">
      <w:pPr>
        <w:keepNext w:val="0"/>
        <w:keepLines w:val="0"/>
        <w:pageBreakBefore w:val="0"/>
        <w:wordWrap/>
        <w:overflowPunct/>
        <w:topLinePunct w:val="0"/>
        <w:bidi w:val="0"/>
        <w:spacing w:before="197" w:line="360" w:lineRule="auto"/>
        <w:ind w:right="13"/>
        <w:jc w:val="both"/>
        <w:rPr>
          <w:rFonts w:hint="default" w:ascii="Times New Roman" w:hAnsi="Times New Roman" w:eastAsia="仿宋" w:cs="Times New Roman"/>
          <w:b/>
          <w:bCs/>
          <w:spacing w:val="-44"/>
          <w:sz w:val="24"/>
          <w:szCs w:val="24"/>
        </w:rPr>
      </w:pPr>
      <w:r>
        <w:rPr>
          <w:rFonts w:hint="default" w:ascii="Times New Roman" w:hAnsi="Times New Roman" w:eastAsia="仿宋" w:cs="Times New Roman"/>
          <w:b/>
          <w:bCs/>
          <w:sz w:val="24"/>
          <w:szCs w:val="24"/>
        </w:rPr>
        <w:t>（十一） 贯彻标准的要求和措施建议（包括组织措施、技术措施、过渡办</w:t>
      </w:r>
      <w:r>
        <w:rPr>
          <w:rFonts w:hint="default" w:ascii="Times New Roman" w:hAnsi="Times New Roman" w:eastAsia="仿宋" w:cs="Times New Roman"/>
          <w:b/>
          <w:bCs/>
          <w:spacing w:val="-6"/>
          <w:sz w:val="24"/>
          <w:szCs w:val="24"/>
        </w:rPr>
        <w:t>法等内容</w:t>
      </w:r>
      <w:r>
        <w:rPr>
          <w:rFonts w:hint="default" w:ascii="Times New Roman" w:hAnsi="Times New Roman" w:eastAsia="仿宋" w:cs="Times New Roman"/>
          <w:b/>
          <w:bCs/>
          <w:spacing w:val="-44"/>
          <w:sz w:val="24"/>
          <w:szCs w:val="24"/>
        </w:rPr>
        <w:t>）</w:t>
      </w:r>
    </w:p>
    <w:p w14:paraId="0FB8A6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 xml:space="preserve">为保障本推荐性标准的顺利实施，建议从以下几个方面采取相应措施： </w:t>
      </w:r>
    </w:p>
    <w:p w14:paraId="42ACFC0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b/>
          <w:bCs/>
          <w:spacing w:val="-44"/>
          <w:sz w:val="24"/>
          <w:szCs w:val="24"/>
        </w:rPr>
      </w:pPr>
      <w:r>
        <w:rPr>
          <w:rFonts w:hint="default" w:ascii="Times New Roman" w:hAnsi="Times New Roman" w:eastAsia="宋体" w:cs="Times New Roman"/>
          <w:snapToGrid w:val="0"/>
          <w:color w:val="000000"/>
          <w:kern w:val="0"/>
          <w:sz w:val="24"/>
          <w:szCs w:val="24"/>
          <w:lang w:val="en-US" w:eastAsia="zh-CN" w:bidi="ar"/>
        </w:rPr>
        <w:t>1、</w:t>
      </w:r>
      <w:r>
        <w:rPr>
          <w:rFonts w:hint="default" w:ascii="Times New Roman" w:hAnsi="Times New Roman" w:eastAsia="仿宋" w:cs="Times New Roman"/>
          <w:snapToGrid w:val="0"/>
          <w:color w:val="000000"/>
          <w:kern w:val="0"/>
          <w:sz w:val="24"/>
          <w:szCs w:val="24"/>
          <w:lang w:val="en-US" w:eastAsia="zh-CN" w:bidi="ar"/>
        </w:rPr>
        <w:t>组织措施</w:t>
      </w:r>
    </w:p>
    <w:p w14:paraId="05B3C47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lang w:val="en-US"/>
        </w:rPr>
      </w:pPr>
      <w:r>
        <w:rPr>
          <w:rFonts w:hint="default" w:ascii="Times New Roman" w:hAnsi="Times New Roman" w:eastAsia="仿宋" w:cs="Times New Roman"/>
          <w:snapToGrid w:val="0"/>
          <w:color w:val="000000"/>
          <w:kern w:val="0"/>
          <w:sz w:val="24"/>
          <w:szCs w:val="24"/>
          <w:lang w:val="en-US" w:eastAsia="zh-CN" w:bidi="ar"/>
        </w:rPr>
        <w:t>（1）充分发挥专业委员会作用</w:t>
      </w:r>
    </w:p>
    <w:p w14:paraId="48E3D243">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 xml:space="preserve">由无菌动物专业委员会发起和组织，在中国实验动物学会和全国实验动物标准化技术委员会的指导下，采用学术会议、专题培训、技术讲座等方式开展标准宣传和推广活动。建立科研院所、生产企业间的协作机制，协调各单位在技术引进、实验资源共享和数据管理方面的合作，保证标准顺利推广实施。 </w:t>
      </w:r>
    </w:p>
    <w:p w14:paraId="60F1B21A">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（2）试点实施</w:t>
      </w:r>
    </w:p>
    <w:p w14:paraId="4F1D329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40" w:firstLineChars="100"/>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选择具备条件的研究机构或企业进行试点，率先按照标准进行无菌小鼠肠道微生物菌群移植数据的采集，进一步完成模型制备的评价。将结果进行总结分析。根据试点反馈情况，进一步完善标准的实施细则，为全面推广提供参考。</w:t>
      </w:r>
    </w:p>
    <w:p w14:paraId="799F87F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2、技术措施</w:t>
      </w:r>
    </w:p>
    <w:p w14:paraId="3C9D4CB5">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eastAsia="仿宋" w:cs="Times New Roman"/>
        </w:rPr>
      </w:pPr>
      <w:r>
        <w:rPr>
          <w:rFonts w:hint="default" w:ascii="Times New Roman" w:hAnsi="Times New Roman" w:eastAsia="仿宋" w:cs="Times New Roman"/>
          <w:snapToGrid w:val="0"/>
          <w:color w:val="000000"/>
          <w:kern w:val="0"/>
          <w:sz w:val="24"/>
          <w:szCs w:val="24"/>
          <w:lang w:val="en-US" w:eastAsia="zh-CN" w:bidi="ar"/>
        </w:rPr>
        <w:t>（1）提供技术支持与指导</w:t>
      </w:r>
    </w:p>
    <w:p w14:paraId="050D0F5B">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240" w:firstLineChars="100"/>
        <w:jc w:val="left"/>
        <w:textAlignment w:val="baseline"/>
        <w:rPr>
          <w:rFonts w:hint="default" w:ascii="Times New Roman" w:hAnsi="Times New Roman" w:eastAsia="仿宋" w:cs="Times New Roman"/>
          <w:b/>
          <w:bCs/>
          <w:spacing w:val="-44"/>
          <w:sz w:val="24"/>
          <w:szCs w:val="24"/>
        </w:rPr>
      </w:pPr>
      <w:r>
        <w:rPr>
          <w:rFonts w:hint="default" w:ascii="Times New Roman" w:hAnsi="Times New Roman" w:eastAsia="仿宋" w:cs="Times New Roman"/>
          <w:snapToGrid w:val="0"/>
          <w:color w:val="000000"/>
          <w:kern w:val="0"/>
          <w:sz w:val="24"/>
          <w:szCs w:val="24"/>
          <w:lang w:val="en-US" w:eastAsia="zh-CN" w:bidi="ar"/>
        </w:rPr>
        <w:t>邀请无菌动物繁育、临床应用、药物研发等相关领域的成立专家技术支持小组，提供标准实施过程中的技术咨询和操作指导，协助标准实施单位解决技术难题。定期开展检查和评估，跟踪标准实施情况。</w:t>
      </w:r>
    </w:p>
    <w:p w14:paraId="70C787C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（2）开展技术培训</w:t>
      </w:r>
    </w:p>
    <w:p w14:paraId="26310EF4">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eastAsia="仿宋" w:cs="Times New Roman"/>
          <w:snapToGrid w:val="0"/>
          <w:color w:val="000000"/>
          <w:kern w:val="0"/>
          <w:sz w:val="24"/>
          <w:szCs w:val="24"/>
          <w:lang w:val="en-US" w:eastAsia="zh-CN" w:bidi="ar"/>
        </w:rPr>
      </w:pPr>
      <w:r>
        <w:rPr>
          <w:rFonts w:hint="default" w:ascii="Times New Roman" w:hAnsi="Times New Roman" w:eastAsia="仿宋" w:cs="Times New Roman"/>
          <w:snapToGrid w:val="0"/>
          <w:color w:val="000000"/>
          <w:kern w:val="0"/>
          <w:sz w:val="24"/>
          <w:szCs w:val="24"/>
          <w:lang w:val="en-US" w:eastAsia="zh-CN" w:bidi="ar"/>
        </w:rPr>
        <w:t>编制标准实施指南和技术操作手册并根据行业发展更新。利用实施指南和操作手册开展针对标准技术内容的专项培训，提升研究人员的操作水平。使从业人员可以清晰理解标准内容，正确执行技术操作。</w:t>
      </w:r>
    </w:p>
    <w:p w14:paraId="7BB61C52">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宋体" w:cs="Times New Roman"/>
          <w:snapToGrid w:val="0"/>
          <w:color w:val="000000"/>
          <w:kern w:val="0"/>
          <w:sz w:val="24"/>
          <w:szCs w:val="24"/>
          <w:lang w:val="en-US" w:eastAsia="zh-CN" w:bidi="ar"/>
        </w:rPr>
        <w:t>3、</w:t>
      </w:r>
      <w:r>
        <w:rPr>
          <w:rFonts w:hint="default" w:ascii="Times New Roman" w:hAnsi="Times New Roman" w:eastAsia="仿宋" w:cs="Times New Roman"/>
          <w:snapToGrid w:val="0"/>
          <w:color w:val="000000"/>
          <w:kern w:val="0"/>
          <w:sz w:val="24"/>
          <w:szCs w:val="24"/>
          <w:lang w:val="en-US" w:eastAsia="zh-CN" w:bidi="ar"/>
        </w:rPr>
        <w:t xml:space="preserve">过渡办法 </w:t>
      </w:r>
    </w:p>
    <w:p w14:paraId="1BEAE4D0">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宋体" w:cs="Times New Roman"/>
          <w:snapToGrid w:val="0"/>
          <w:color w:val="000000"/>
          <w:kern w:val="0"/>
          <w:sz w:val="24"/>
          <w:szCs w:val="24"/>
          <w:lang w:val="en-US" w:eastAsia="zh-CN" w:bidi="ar"/>
        </w:rPr>
        <w:t>（1）</w:t>
      </w:r>
      <w:r>
        <w:rPr>
          <w:rFonts w:hint="default" w:ascii="Times New Roman" w:hAnsi="Times New Roman" w:eastAsia="仿宋" w:cs="Times New Roman"/>
          <w:snapToGrid w:val="0"/>
          <w:color w:val="000000"/>
          <w:kern w:val="0"/>
          <w:sz w:val="24"/>
          <w:szCs w:val="24"/>
          <w:lang w:val="en-US" w:eastAsia="zh-CN" w:bidi="ar"/>
        </w:rPr>
        <w:t>分阶段实施</w:t>
      </w:r>
    </w:p>
    <w:p w14:paraId="4D6FF931">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第一阶段（</w:t>
      </w:r>
      <w:r>
        <w:rPr>
          <w:rFonts w:hint="default" w:ascii="Times New Roman" w:hAnsi="Times New Roman" w:eastAsia="宋体" w:cs="Times New Roman"/>
          <w:snapToGrid w:val="0"/>
          <w:color w:val="000000"/>
          <w:kern w:val="0"/>
          <w:sz w:val="24"/>
          <w:szCs w:val="24"/>
          <w:lang w:val="en-US" w:eastAsia="zh-CN" w:bidi="ar"/>
        </w:rPr>
        <w:t>1~2</w:t>
      </w:r>
      <w:r>
        <w:rPr>
          <w:rFonts w:hint="default" w:ascii="Times New Roman" w:hAnsi="Times New Roman" w:eastAsia="仿宋" w:cs="Times New Roman"/>
          <w:snapToGrid w:val="0"/>
          <w:color w:val="000000"/>
          <w:kern w:val="0"/>
          <w:sz w:val="24"/>
          <w:szCs w:val="24"/>
          <w:lang w:val="en-US" w:eastAsia="zh-CN" w:bidi="ar"/>
        </w:rPr>
        <w:t>年）：主要进行标准宣贯与技术培训。集中开展标准内容的宣传和相关技术的培训，使各单位对新标准有认知并逐步采纳标准内容，积累实施操作经验。</w:t>
      </w:r>
    </w:p>
    <w:p w14:paraId="3CC8288D">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lang w:val="en-US"/>
        </w:rPr>
      </w:pPr>
      <w:r>
        <w:rPr>
          <w:rFonts w:hint="default" w:ascii="Times New Roman" w:hAnsi="Times New Roman" w:eastAsia="仿宋" w:cs="Times New Roman"/>
          <w:snapToGrid w:val="0"/>
          <w:color w:val="000000"/>
          <w:kern w:val="0"/>
          <w:sz w:val="24"/>
          <w:szCs w:val="24"/>
          <w:lang w:val="en-US" w:eastAsia="zh-CN" w:bidi="ar"/>
        </w:rPr>
        <w:t>第二阶段（</w:t>
      </w:r>
      <w:r>
        <w:rPr>
          <w:rFonts w:hint="default" w:ascii="Times New Roman" w:hAnsi="Times New Roman" w:eastAsia="宋体" w:cs="Times New Roman"/>
          <w:snapToGrid w:val="0"/>
          <w:color w:val="000000"/>
          <w:kern w:val="0"/>
          <w:sz w:val="24"/>
          <w:szCs w:val="24"/>
          <w:lang w:val="en-US" w:eastAsia="zh-CN" w:bidi="ar"/>
        </w:rPr>
        <w:t>2~5</w:t>
      </w:r>
      <w:r>
        <w:rPr>
          <w:rFonts w:hint="default" w:ascii="Times New Roman" w:hAnsi="Times New Roman" w:eastAsia="仿宋" w:cs="Times New Roman"/>
          <w:snapToGrid w:val="0"/>
          <w:color w:val="000000"/>
          <w:kern w:val="0"/>
          <w:sz w:val="24"/>
          <w:szCs w:val="24"/>
          <w:lang w:val="en-US" w:eastAsia="zh-CN" w:bidi="ar"/>
        </w:rPr>
        <w:t>年）：在肠道菌群与疾病关系研究、益生菌评价等重点领域进行规范化实施，推动标准的全面应用。对实施效果进行评估，为全面推广奠定基础。</w:t>
      </w:r>
    </w:p>
    <w:p w14:paraId="65FA6198">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第三阶段（</w:t>
      </w:r>
      <w:r>
        <w:rPr>
          <w:rFonts w:hint="default" w:ascii="Times New Roman" w:hAnsi="Times New Roman" w:eastAsia="宋体" w:cs="Times New Roman"/>
          <w:snapToGrid w:val="0"/>
          <w:color w:val="000000"/>
          <w:kern w:val="0"/>
          <w:sz w:val="24"/>
          <w:szCs w:val="24"/>
          <w:lang w:val="en-US" w:eastAsia="zh-CN" w:bidi="ar"/>
        </w:rPr>
        <w:t>5</w:t>
      </w:r>
      <w:r>
        <w:rPr>
          <w:rFonts w:hint="default" w:ascii="Times New Roman" w:hAnsi="Times New Roman" w:eastAsia="仿宋" w:cs="Times New Roman"/>
          <w:snapToGrid w:val="0"/>
          <w:color w:val="000000"/>
          <w:kern w:val="0"/>
          <w:sz w:val="24"/>
          <w:szCs w:val="24"/>
          <w:lang w:val="en-US" w:eastAsia="zh-CN" w:bidi="ar"/>
        </w:rPr>
        <w:t>年及以上）：条件成熟后，推动标准在相关领域范围内广泛实施，逐步形成标准的行业规范和统一的操作体系。</w:t>
      </w:r>
    </w:p>
    <w:p w14:paraId="5F9486C3">
      <w:pPr>
        <w:keepNext w:val="0"/>
        <w:keepLines w:val="0"/>
        <w:widowControl/>
        <w:suppressLineNumbers w:val="0"/>
        <w:jc w:val="left"/>
        <w:rPr>
          <w:rFonts w:hint="default" w:ascii="Times New Roman" w:hAnsi="Times New Roman" w:cs="Times New Roman"/>
        </w:rPr>
      </w:pPr>
    </w:p>
    <w:p w14:paraId="7BE7361E">
      <w:pPr>
        <w:keepNext w:val="0"/>
        <w:keepLines w:val="0"/>
        <w:widowControl/>
        <w:suppressLineNumbers w:val="0"/>
        <w:jc w:val="left"/>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（2）标准的灵活使用与更新</w:t>
      </w:r>
    </w:p>
    <w:p w14:paraId="5C35DA8E">
      <w:pPr>
        <w:keepNext w:val="0"/>
        <w:keepLines w:val="0"/>
        <w:widowControl/>
        <w:suppressLineNumbers w:val="0"/>
        <w:jc w:val="left"/>
        <w:rPr>
          <w:rFonts w:hint="default" w:ascii="Times New Roman" w:hAnsi="Times New Roman" w:cs="Times New Roman"/>
        </w:rPr>
      </w:pPr>
    </w:p>
    <w:p w14:paraId="485EC2B7">
      <w:pPr>
        <w:keepNext w:val="0"/>
        <w:keepLines w:val="0"/>
        <w:pageBreakBefore w:val="0"/>
        <w:widowControl/>
        <w:suppressLineNumbers w:val="0"/>
        <w:kinsoku w:val="0"/>
        <w:wordWrap/>
        <w:overflowPunct/>
        <w:topLinePunct w:val="0"/>
        <w:autoSpaceDE w:val="0"/>
        <w:autoSpaceDN w:val="0"/>
        <w:bidi w:val="0"/>
        <w:adjustRightInd w:val="0"/>
        <w:snapToGrid w:val="0"/>
        <w:spacing w:line="360" w:lineRule="auto"/>
        <w:ind w:firstLine="480" w:firstLineChars="200"/>
        <w:jc w:val="left"/>
        <w:textAlignment w:val="baseline"/>
        <w:rPr>
          <w:rFonts w:hint="default" w:ascii="Times New Roman" w:hAnsi="Times New Roman" w:cs="Times New Roman"/>
        </w:rPr>
      </w:pPr>
      <w:r>
        <w:rPr>
          <w:rFonts w:hint="default" w:ascii="Times New Roman" w:hAnsi="Times New Roman" w:eastAsia="仿宋" w:cs="Times New Roman"/>
          <w:snapToGrid w:val="0"/>
          <w:color w:val="000000"/>
          <w:kern w:val="0"/>
          <w:sz w:val="24"/>
          <w:szCs w:val="24"/>
          <w:lang w:val="en-US" w:eastAsia="zh-CN" w:bidi="ar"/>
        </w:rPr>
        <w:t>不同机构在技术能力和研究需求方面存在差异，建议允许在标准推广阶段，各单位可根据自身实际情况酌情采用标准内容，取长补短，分阶段逐步实现标准全面实施。为保证与技术发展的前沿保持一致，当相关领域出现新技术、新方法时，标准要进行动态更新，并及时进行宣贯和新技术的培训。</w:t>
      </w:r>
    </w:p>
    <w:p w14:paraId="6F5D2196">
      <w:pPr>
        <w:keepNext w:val="0"/>
        <w:keepLines w:val="0"/>
        <w:widowControl/>
        <w:suppressLineNumbers w:val="0"/>
        <w:jc w:val="left"/>
        <w:rPr>
          <w:rFonts w:hint="default" w:ascii="Times New Roman" w:hAnsi="Times New Roman" w:cs="Times New Roman"/>
        </w:rPr>
      </w:pPr>
    </w:p>
    <w:p w14:paraId="3C4CB6F9">
      <w:pPr>
        <w:keepNext w:val="0"/>
        <w:keepLines w:val="0"/>
        <w:pageBreakBefore w:val="0"/>
        <w:wordWrap/>
        <w:overflowPunct/>
        <w:topLinePunct w:val="0"/>
        <w:bidi w:val="0"/>
        <w:spacing w:before="197" w:line="360" w:lineRule="auto"/>
        <w:ind w:right="13"/>
        <w:jc w:val="both"/>
        <w:rPr>
          <w:rFonts w:hint="default" w:ascii="Times New Roman" w:hAnsi="Times New Roman" w:eastAsia="仿宋" w:cs="Times New Roman"/>
          <w:b/>
          <w:bCs/>
          <w:spacing w:val="-44"/>
          <w:sz w:val="24"/>
          <w:szCs w:val="24"/>
        </w:rPr>
        <w:sectPr>
          <w:pgSz w:w="11906" w:h="16839"/>
          <w:pgMar w:top="1417" w:right="1785" w:bottom="1417" w:left="1785" w:header="0" w:footer="0" w:gutter="0"/>
          <w:cols w:space="720" w:num="1"/>
        </w:sectPr>
      </w:pPr>
    </w:p>
    <w:p w14:paraId="1A550EA4">
      <w:pPr>
        <w:keepNext w:val="0"/>
        <w:keepLines w:val="0"/>
        <w:pageBreakBefore w:val="0"/>
        <w:wordWrap/>
        <w:overflowPunct/>
        <w:topLinePunct w:val="0"/>
        <w:bidi w:val="0"/>
        <w:spacing w:before="197" w:line="360" w:lineRule="auto"/>
        <w:rPr>
          <w:rFonts w:hint="eastAsia" w:ascii="仿宋" w:hAnsi="仿宋" w:eastAsia="仿宋" w:cs="仿宋"/>
          <w:b/>
          <w:bCs/>
          <w:sz w:val="24"/>
          <w:szCs w:val="24"/>
        </w:rPr>
      </w:pPr>
      <w:r>
        <w:rPr>
          <w:rFonts w:hint="eastAsia" w:ascii="仿宋" w:hAnsi="仿宋" w:eastAsia="仿宋" w:cs="仿宋"/>
          <w:b/>
          <w:bCs/>
          <w:spacing w:val="-2"/>
          <w:sz w:val="24"/>
          <w:szCs w:val="24"/>
        </w:rPr>
        <w:t>（十二） 废止现行有关标准的建议</w:t>
      </w:r>
    </w:p>
    <w:p w14:paraId="3D6B8C26">
      <w:pPr>
        <w:keepNext w:val="0"/>
        <w:keepLines w:val="0"/>
        <w:pageBreakBefore w:val="0"/>
        <w:wordWrap/>
        <w:overflowPunct/>
        <w:topLinePunct w:val="0"/>
        <w:bidi w:val="0"/>
        <w:spacing w:before="78" w:line="360" w:lineRule="auto"/>
        <w:ind w:firstLine="440" w:firstLineChars="200"/>
        <w:rPr>
          <w:rFonts w:hint="eastAsia" w:ascii="仿宋" w:hAnsi="仿宋" w:eastAsia="仿宋" w:cs="仿宋"/>
          <w:sz w:val="24"/>
          <w:szCs w:val="24"/>
        </w:rPr>
      </w:pPr>
      <w:r>
        <w:rPr>
          <w:rFonts w:hint="eastAsia" w:ascii="仿宋" w:hAnsi="仿宋" w:eastAsia="仿宋" w:cs="仿宋"/>
          <w:spacing w:val="-10"/>
          <w:sz w:val="24"/>
          <w:szCs w:val="24"/>
        </w:rPr>
        <w:t>无</w:t>
      </w:r>
    </w:p>
    <w:p w14:paraId="3838DC37">
      <w:pPr>
        <w:keepNext w:val="0"/>
        <w:keepLines w:val="0"/>
        <w:pageBreakBefore w:val="0"/>
        <w:wordWrap/>
        <w:overflowPunct/>
        <w:topLinePunct w:val="0"/>
        <w:bidi w:val="0"/>
        <w:spacing w:before="78" w:line="360" w:lineRule="auto"/>
        <w:rPr>
          <w:rFonts w:hint="eastAsia" w:ascii="仿宋" w:hAnsi="仿宋" w:eastAsia="仿宋" w:cs="仿宋"/>
          <w:b/>
          <w:bCs/>
          <w:sz w:val="24"/>
          <w:szCs w:val="24"/>
        </w:rPr>
      </w:pPr>
      <w:r>
        <w:rPr>
          <w:rFonts w:hint="eastAsia" w:ascii="仿宋" w:hAnsi="仿宋" w:eastAsia="仿宋" w:cs="仿宋"/>
          <w:b/>
          <w:bCs/>
          <w:spacing w:val="-2"/>
          <w:sz w:val="24"/>
          <w:szCs w:val="24"/>
        </w:rPr>
        <w:t>（十三） 其他应予说明的事项</w:t>
      </w:r>
      <w:bookmarkStart w:id="2" w:name="_GoBack"/>
      <w:bookmarkEnd w:id="2"/>
    </w:p>
    <w:p w14:paraId="74FA419E">
      <w:pPr>
        <w:keepNext w:val="0"/>
        <w:keepLines w:val="0"/>
        <w:pageBreakBefore w:val="0"/>
        <w:wordWrap/>
        <w:overflowPunct/>
        <w:topLinePunct w:val="0"/>
        <w:bidi w:val="0"/>
        <w:spacing w:before="78" w:line="360" w:lineRule="auto"/>
        <w:ind w:firstLine="440" w:firstLineChars="200"/>
        <w:rPr>
          <w:rFonts w:hint="eastAsia" w:ascii="仿宋" w:hAnsi="仿宋" w:eastAsia="仿宋" w:cs="仿宋"/>
          <w:sz w:val="24"/>
          <w:szCs w:val="24"/>
        </w:rPr>
      </w:pPr>
      <w:r>
        <w:rPr>
          <w:rFonts w:hint="eastAsia" w:ascii="仿宋" w:hAnsi="仿宋" w:eastAsia="仿宋" w:cs="仿宋"/>
          <w:spacing w:val="-10"/>
          <w:sz w:val="24"/>
          <w:szCs w:val="24"/>
        </w:rPr>
        <w:t>无</w:t>
      </w:r>
    </w:p>
    <w:sectPr>
      <w:pgSz w:w="11906" w:h="16839"/>
      <w:pgMar w:top="1431" w:right="1785" w:bottom="0" w:left="1785"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AC8FD5"/>
    <w:multiLevelType w:val="singleLevel"/>
    <w:tmpl w:val="86AC8FD5"/>
    <w:lvl w:ilvl="0" w:tentative="0">
      <w:start w:val="3"/>
      <w:numFmt w:val="decimal"/>
      <w:lvlText w:val="%1."/>
      <w:lvlJc w:val="left"/>
      <w:pPr>
        <w:tabs>
          <w:tab w:val="left" w:pos="312"/>
        </w:tabs>
      </w:pPr>
    </w:lvl>
  </w:abstractNum>
  <w:abstractNum w:abstractNumId="1">
    <w:nsid w:val="A34635B8"/>
    <w:multiLevelType w:val="singleLevel"/>
    <w:tmpl w:val="A34635B8"/>
    <w:lvl w:ilvl="0" w:tentative="0">
      <w:start w:val="3"/>
      <w:numFmt w:val="chineseCounting"/>
      <w:suff w:val="space"/>
      <w:lvlText w:val="（%1）"/>
      <w:lvlJc w:val="left"/>
      <w:rPr>
        <w:rFonts w:hint="eastAsia"/>
      </w:rPr>
    </w:lvl>
  </w:abstractNum>
  <w:abstractNum w:abstractNumId="2">
    <w:nsid w:val="BDCDDED5"/>
    <w:multiLevelType w:val="singleLevel"/>
    <w:tmpl w:val="BDCDDED5"/>
    <w:lvl w:ilvl="0" w:tentative="0">
      <w:start w:val="1"/>
      <w:numFmt w:val="decimal"/>
      <w:suff w:val="nothing"/>
      <w:lvlText w:val="%1、"/>
      <w:lvlJc w:val="left"/>
    </w:lvl>
  </w:abstractNum>
  <w:abstractNum w:abstractNumId="3">
    <w:nsid w:val="0FAAC63B"/>
    <w:multiLevelType w:val="singleLevel"/>
    <w:tmpl w:val="0FAAC63B"/>
    <w:lvl w:ilvl="0" w:tentative="0">
      <w:start w:val="1"/>
      <w:numFmt w:val="decimal"/>
      <w:suff w:val="nothing"/>
      <w:lvlText w:val="%1、"/>
      <w:lvlJc w:val="left"/>
    </w:lvl>
  </w:abstractNum>
  <w:abstractNum w:abstractNumId="4">
    <w:nsid w:val="2867FDEA"/>
    <w:multiLevelType w:val="singleLevel"/>
    <w:tmpl w:val="2867FDEA"/>
    <w:lvl w:ilvl="0" w:tentative="0">
      <w:start w:val="3"/>
      <w:numFmt w:val="decimal"/>
      <w:suff w:val="nothing"/>
      <w:lvlText w:val="%1、"/>
      <w:lvlJc w:val="left"/>
    </w:lvl>
  </w:abstractNum>
  <w:abstractNum w:abstractNumId="5">
    <w:nsid w:val="3F37BD04"/>
    <w:multiLevelType w:val="singleLevel"/>
    <w:tmpl w:val="3F37BD04"/>
    <w:lvl w:ilvl="0" w:tentative="0">
      <w:start w:val="6"/>
      <w:numFmt w:val="decimal"/>
      <w:lvlText w:val="%1."/>
      <w:lvlJc w:val="left"/>
      <w:pPr>
        <w:tabs>
          <w:tab w:val="left" w:pos="312"/>
        </w:tabs>
      </w:pPr>
    </w:lvl>
  </w:abstractNum>
  <w:abstractNum w:abstractNumId="6">
    <w:nsid w:val="74F2B162"/>
    <w:multiLevelType w:val="singleLevel"/>
    <w:tmpl w:val="74F2B162"/>
    <w:lvl w:ilvl="0" w:tentative="0">
      <w:start w:val="1"/>
      <w:numFmt w:val="decimal"/>
      <w:suff w:val="nothing"/>
      <w:lvlText w:val="%1、"/>
      <w:lvlJc w:val="left"/>
    </w:lvl>
  </w:abstractNum>
  <w:num w:numId="1">
    <w:abstractNumId w:val="1"/>
  </w:num>
  <w:num w:numId="2">
    <w:abstractNumId w:val="4"/>
  </w:num>
  <w:num w:numId="3">
    <w:abstractNumId w:val="6"/>
  </w:num>
  <w:num w:numId="4">
    <w:abstractNumId w:val="3"/>
  </w:num>
  <w:num w:numId="5">
    <w:abstractNumId w:val="0"/>
  </w:num>
  <w:num w:numId="6">
    <w:abstractNumId w:val="5"/>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3"/>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0732204"/>
    <w:rsid w:val="037C69DF"/>
    <w:rsid w:val="04000A5D"/>
    <w:rsid w:val="06EA6EE5"/>
    <w:rsid w:val="07157A14"/>
    <w:rsid w:val="07F10626"/>
    <w:rsid w:val="083801EC"/>
    <w:rsid w:val="084E65E3"/>
    <w:rsid w:val="08505713"/>
    <w:rsid w:val="087D7F38"/>
    <w:rsid w:val="0E116E7B"/>
    <w:rsid w:val="0F177B18"/>
    <w:rsid w:val="0FAE6C29"/>
    <w:rsid w:val="13583D5B"/>
    <w:rsid w:val="140E52E2"/>
    <w:rsid w:val="17935CD1"/>
    <w:rsid w:val="193D4FFE"/>
    <w:rsid w:val="19C63225"/>
    <w:rsid w:val="1C745172"/>
    <w:rsid w:val="1F963003"/>
    <w:rsid w:val="206375BB"/>
    <w:rsid w:val="22312F0D"/>
    <w:rsid w:val="2423778D"/>
    <w:rsid w:val="24CC1EFD"/>
    <w:rsid w:val="25097160"/>
    <w:rsid w:val="25AC730F"/>
    <w:rsid w:val="28BE782C"/>
    <w:rsid w:val="2A1008C7"/>
    <w:rsid w:val="2A361068"/>
    <w:rsid w:val="2C96070F"/>
    <w:rsid w:val="2DDF2977"/>
    <w:rsid w:val="2DF77401"/>
    <w:rsid w:val="2F210499"/>
    <w:rsid w:val="30162EEE"/>
    <w:rsid w:val="303456C1"/>
    <w:rsid w:val="3103194D"/>
    <w:rsid w:val="319765A8"/>
    <w:rsid w:val="322A2E92"/>
    <w:rsid w:val="36A11AE9"/>
    <w:rsid w:val="374A7EE0"/>
    <w:rsid w:val="38844435"/>
    <w:rsid w:val="38FA68B7"/>
    <w:rsid w:val="3B2B3204"/>
    <w:rsid w:val="3EE01BB7"/>
    <w:rsid w:val="46570CEE"/>
    <w:rsid w:val="47D8637D"/>
    <w:rsid w:val="49925EFD"/>
    <w:rsid w:val="4ABF4DF4"/>
    <w:rsid w:val="4E4F3431"/>
    <w:rsid w:val="4F847B89"/>
    <w:rsid w:val="51DC6C84"/>
    <w:rsid w:val="579B1608"/>
    <w:rsid w:val="57BB74D2"/>
    <w:rsid w:val="58A61818"/>
    <w:rsid w:val="5CC6099E"/>
    <w:rsid w:val="5D350482"/>
    <w:rsid w:val="5DAB5B22"/>
    <w:rsid w:val="5EC82DA0"/>
    <w:rsid w:val="5FA07D52"/>
    <w:rsid w:val="5FB0682C"/>
    <w:rsid w:val="60BA0556"/>
    <w:rsid w:val="66AB31D8"/>
    <w:rsid w:val="67CD14AE"/>
    <w:rsid w:val="6B1053E1"/>
    <w:rsid w:val="6D007309"/>
    <w:rsid w:val="6DD24A05"/>
    <w:rsid w:val="700F3CEF"/>
    <w:rsid w:val="715553CD"/>
    <w:rsid w:val="719D599E"/>
    <w:rsid w:val="72670600"/>
    <w:rsid w:val="72BA43E6"/>
    <w:rsid w:val="73072AF7"/>
    <w:rsid w:val="73876D80"/>
    <w:rsid w:val="770E4A0E"/>
    <w:rsid w:val="77112DC7"/>
    <w:rsid w:val="7A7E3F4B"/>
    <w:rsid w:val="7A992B3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2">
    <w:name w:val="heading 2"/>
    <w:next w:val="1"/>
    <w:qFormat/>
    <w:uiPriority w:val="0"/>
    <w:pPr>
      <w:spacing w:before="320" w:after="120" w:line="288" w:lineRule="auto"/>
      <w:ind w:left="0"/>
      <w:jc w:val="left"/>
      <w:outlineLvl w:val="1"/>
    </w:pPr>
    <w:rPr>
      <w:rFonts w:ascii="Arial" w:hAnsi="Arial" w:eastAsia="等线" w:cs="Arial"/>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8"/>
      <w:szCs w:val="28"/>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目次、标准名称标题"/>
    <w:basedOn w:val="1"/>
    <w:next w:val="8"/>
    <w:qFormat/>
    <w:uiPriority w:val="99"/>
    <w:pPr>
      <w:keepNext/>
      <w:pageBreakBefore/>
      <w:widowControl/>
      <w:shd w:val="clear" w:color="FFFFFF" w:fill="FFFFFF"/>
      <w:spacing w:before="640" w:after="560" w:line="460" w:lineRule="exact"/>
      <w:jc w:val="center"/>
      <w:outlineLvl w:val="0"/>
    </w:pPr>
    <w:rPr>
      <w:rFonts w:ascii="黑体" w:eastAsia="黑体" w:cs="黑体"/>
      <w:kern w:val="0"/>
      <w:sz w:val="32"/>
      <w:szCs w:val="32"/>
    </w:rPr>
  </w:style>
  <w:style w:type="paragraph" w:customStyle="1" w:styleId="8">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宋体"/>
      <w:sz w:val="21"/>
      <w:szCs w:val="21"/>
      <w:lang w:val="en-US" w:eastAsia="zh-CN" w:bidi="ar-SA"/>
    </w:rPr>
  </w:style>
  <w:style w:type="paragraph" w:customStyle="1" w:styleId="9">
    <w:name w:val="列出段落11"/>
    <w:basedOn w:val="1"/>
    <w:qFormat/>
    <w:uiPriority w:val="34"/>
    <w:pPr>
      <w:ind w:firstLine="420" w:firstLineChars="200"/>
    </w:pPr>
  </w:style>
  <w:style w:type="paragraph" w:customStyle="1" w:styleId="10">
    <w:name w:val="List Paragraph"/>
    <w:basedOn w:val="1"/>
    <w:unhideWhenUsed/>
    <w:qFormat/>
    <w:uiPriority w:val="99"/>
    <w:pPr>
      <w:ind w:left="720"/>
      <w:contextualSpacing/>
    </w:pPr>
  </w:style>
  <w:style w:type="paragraph" w:customStyle="1" w:styleId="11">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13</Pages>
  <Words>7562</Words>
  <Characters>8946</Characters>
  <TotalTime>12</TotalTime>
  <ScaleCrop>false</ScaleCrop>
  <LinksUpToDate>false</LinksUpToDate>
  <CharactersWithSpaces>9282</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2025-04-10T08:32:00Z</dcterms:created>
  <dc:creator>kandy</dc:creator>
  <cp:lastModifiedBy>Lewis-Wei</cp:lastModifiedBy>
  <cp:lastPrinted>2025-05-07T05:47:00Z</cp:lastPrinted>
  <dcterms:modified xsi:type="dcterms:W3CDTF">2026-03-03T01:33:04Z</dcterms:modified>
  <dc:title>附件2：</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2025-04-16T15:29:38Z</vt:filetime>
  </property>
  <property fmtid="{D5CDD505-2E9C-101B-9397-08002B2CF9AE}" pid="4" name="KSOProductBuildVer">
    <vt:lpwstr>2052-12.1.0.25225</vt:lpwstr>
  </property>
  <property fmtid="{D5CDD505-2E9C-101B-9397-08002B2CF9AE}" pid="5" name="ICV">
    <vt:lpwstr>9D2CB34373A140EF8F370740823EB0D4_13</vt:lpwstr>
  </property>
  <property fmtid="{D5CDD505-2E9C-101B-9397-08002B2CF9AE}" pid="6" name="KSOTemplateDocerSaveRecord">
    <vt:lpwstr>eyJoZGlkIjoiZDBhMGZjN2QyOGY0Y2RjYzMwNzRhODg2OWViODg1ZDIiLCJ1c2VySWQiOiIzOTQ2NzE4NDAifQ==</vt:lpwstr>
  </property>
</Properties>
</file>